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宋体" w:hAnsi="宋体" w:cs="宋体"/>
          <w:b/>
          <w:bCs/>
          <w:color w:val="000000" w:themeColor="text1"/>
          <w:kern w:val="0"/>
          <w:sz w:val="44"/>
          <w:szCs w:val="44"/>
          <w:highlight w:val="none"/>
          <w:lang w:val="en-US" w:eastAsia="zh-CN" w:bidi="ar"/>
          <w14:textFill>
            <w14:solidFill>
              <w14:schemeClr w14:val="tx1"/>
            </w14:solidFill>
          </w14:textFill>
        </w:rPr>
      </w:pPr>
      <w:bookmarkStart w:id="0" w:name="_GoBack"/>
      <w:r>
        <w:rPr>
          <w:rFonts w:hint="eastAsia" w:ascii="宋体" w:hAnsi="宋体" w:eastAsia="宋体" w:cs="宋体"/>
          <w:b/>
          <w:bCs/>
          <w:color w:val="000000" w:themeColor="text1"/>
          <w:kern w:val="0"/>
          <w:sz w:val="44"/>
          <w:szCs w:val="44"/>
          <w:highlight w:val="none"/>
          <w:lang w:val="en-US" w:eastAsia="zh-CN" w:bidi="ar"/>
          <w14:textFill>
            <w14:solidFill>
              <w14:schemeClr w14:val="tx1"/>
            </w14:solidFill>
          </w14:textFill>
        </w:rPr>
        <w:t>交易</w:t>
      </w:r>
      <w:r>
        <w:rPr>
          <w:rFonts w:hint="eastAsia" w:ascii="宋体" w:hAnsi="宋体" w:cs="宋体"/>
          <w:b/>
          <w:bCs/>
          <w:color w:val="000000" w:themeColor="text1"/>
          <w:kern w:val="0"/>
          <w:sz w:val="44"/>
          <w:szCs w:val="44"/>
          <w:highlight w:val="none"/>
          <w:lang w:val="en-US" w:eastAsia="zh-CN" w:bidi="ar"/>
          <w14:textFill>
            <w14:solidFill>
              <w14:schemeClr w14:val="tx1"/>
            </w14:solidFill>
          </w14:textFill>
        </w:rPr>
        <w:t>文件</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640" w:firstLineChars="200"/>
        <w:jc w:val="center"/>
        <w:textAlignment w:val="auto"/>
        <w:outlineLvl w:val="9"/>
        <w:rPr>
          <w:rFonts w:hint="default" w:ascii="黑体" w:hAnsi="黑体" w:eastAsia="黑体" w:cs="黑体"/>
          <w:b w:val="0"/>
          <w:bCs w:val="0"/>
          <w:color w:val="000000" w:themeColor="text1"/>
          <w:kern w:val="2"/>
          <w:sz w:val="32"/>
          <w:szCs w:val="32"/>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9"/>
        <w:rPr>
          <w:rFonts w:hint="eastAsia" w:ascii="仿宋" w:hAnsi="仿宋" w:eastAsia="仿宋" w:cs="仿宋"/>
          <w:b/>
          <w:bCs/>
          <w:color w:val="000000" w:themeColor="text1"/>
          <w:sz w:val="28"/>
          <w:szCs w:val="28"/>
          <w:highlight w:val="none"/>
          <w:lang w:bidi="ar"/>
          <w14:textFill>
            <w14:solidFill>
              <w14:schemeClr w14:val="tx1"/>
            </w14:solidFill>
          </w14:textFill>
        </w:rPr>
      </w:pPr>
      <w:r>
        <w:rPr>
          <w:rFonts w:hint="eastAsia" w:ascii="黑体" w:hAnsi="黑体" w:eastAsia="黑体" w:cs="黑体"/>
          <w:b w:val="0"/>
          <w:bCs w:val="0"/>
          <w:color w:val="000000" w:themeColor="text1"/>
          <w:kern w:val="2"/>
          <w:sz w:val="28"/>
          <w:szCs w:val="28"/>
          <w:highlight w:val="none"/>
          <w:lang w:val="en-US" w:eastAsia="zh-CN" w:bidi="ar"/>
          <w14:textFill>
            <w14:solidFill>
              <w14:schemeClr w14:val="tx1"/>
            </w14:solidFill>
          </w14:textFill>
        </w:rPr>
        <w:t>第一章 交易规则</w:t>
      </w:r>
    </w:p>
    <w:p>
      <w:pPr>
        <w:pStyle w:val="7"/>
        <w:keepNext w:val="0"/>
        <w:keepLines w:val="0"/>
        <w:pageBreakBefore w:val="0"/>
        <w:widowControl/>
        <w:numPr>
          <w:ilvl w:val="0"/>
          <w:numId w:val="0"/>
        </w:numPr>
        <w:suppressLineNumbers w:val="0"/>
        <w:tabs>
          <w:tab w:val="left" w:pos="841"/>
        </w:tabs>
        <w:kinsoku/>
        <w:wordWrap/>
        <w:overflowPunct/>
        <w:topLinePunct w:val="0"/>
        <w:autoSpaceDE/>
        <w:autoSpaceDN/>
        <w:bidi w:val="0"/>
        <w:adjustRightInd/>
        <w:snapToGrid/>
        <w:spacing w:line="440" w:lineRule="exact"/>
        <w:ind w:firstLine="480" w:firstLineChars="200"/>
        <w:jc w:val="both"/>
        <w:textAlignment w:val="auto"/>
        <w:rPr>
          <w:rFonts w:hint="eastAsia" w:ascii="黑体" w:hAnsi="黑体" w:eastAsia="黑体" w:cs="黑体"/>
          <w:b w:val="0"/>
          <w:bCs w:val="0"/>
          <w:color w:val="000000" w:themeColor="text1"/>
          <w:kern w:val="2"/>
          <w:sz w:val="24"/>
          <w:szCs w:val="24"/>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
          <w14:textFill>
            <w14:solidFill>
              <w14:schemeClr w14:val="tx1"/>
            </w14:solidFill>
          </w14:textFill>
        </w:rPr>
        <w:t>一、交易方式及原则</w:t>
      </w:r>
    </w:p>
    <w:p>
      <w:pPr>
        <w:pStyle w:val="7"/>
        <w:keepNext w:val="0"/>
        <w:keepLines w:val="0"/>
        <w:pageBreakBefore w:val="0"/>
        <w:widowControl/>
        <w:numPr>
          <w:ilvl w:val="0"/>
          <w:numId w:val="0"/>
        </w:numPr>
        <w:suppressLineNumbers w:val="0"/>
        <w:tabs>
          <w:tab w:val="left" w:pos="841"/>
        </w:tabs>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themeColor="text1"/>
          <w:sz w:val="24"/>
          <w:szCs w:val="24"/>
          <w:highlight w:val="none"/>
          <w:lang w:val="en-US" w:bidi="ar-SA"/>
          <w14:textFill>
            <w14:solidFill>
              <w14:schemeClr w14:val="tx1"/>
            </w14:solidFill>
          </w14:textFill>
        </w:rPr>
      </w:pPr>
      <w:r>
        <w:rPr>
          <w:rFonts w:hint="eastAsia"/>
          <w:b w:val="0"/>
          <w:bCs w:val="0"/>
          <w:color w:val="000000" w:themeColor="text1"/>
          <w:sz w:val="24"/>
          <w:szCs w:val="24"/>
          <w:highlight w:val="none"/>
          <w:lang w:val="en-US" w:bidi="ar-SA"/>
          <w14:textFill>
            <w14:solidFill>
              <w14:schemeClr w14:val="tx1"/>
            </w14:solidFill>
          </w14:textFill>
        </w:rPr>
        <w:t>项目</w:t>
      </w:r>
      <w:r>
        <w:rPr>
          <w:rFonts w:hint="eastAsia"/>
          <w:b w:val="0"/>
          <w:bCs w:val="0"/>
          <w:color w:val="000000" w:themeColor="text1"/>
          <w:sz w:val="24"/>
          <w:szCs w:val="24"/>
          <w:highlight w:val="none"/>
          <w:lang w:val="en-US" w:eastAsia="zh-CN" w:bidi="ar-SA"/>
          <w14:textFill>
            <w14:solidFill>
              <w14:schemeClr w14:val="tx1"/>
            </w14:solidFill>
          </w14:textFill>
        </w:rPr>
        <w:t>采取网上竞投的方式进行交易，</w:t>
      </w:r>
      <w:r>
        <w:rPr>
          <w:rFonts w:hint="eastAsia"/>
          <w:b w:val="0"/>
          <w:bCs w:val="0"/>
          <w:color w:val="000000" w:themeColor="text1"/>
          <w:spacing w:val="0"/>
          <w:sz w:val="24"/>
          <w:szCs w:val="24"/>
          <w:highlight w:val="none"/>
          <w:lang w:val="en-US" w:bidi="ar-SA"/>
          <w14:textFill>
            <w14:solidFill>
              <w14:schemeClr w14:val="tx1"/>
            </w14:solidFill>
          </w14:textFill>
        </w:rPr>
        <w:t>按照“不低于底价，价高者得”的原则确</w:t>
      </w:r>
      <w:r>
        <w:rPr>
          <w:rFonts w:hint="eastAsia"/>
          <w:b w:val="0"/>
          <w:bCs w:val="0"/>
          <w:color w:val="000000" w:themeColor="text1"/>
          <w:sz w:val="24"/>
          <w:szCs w:val="24"/>
          <w:highlight w:val="none"/>
          <w:lang w:val="en-US" w:bidi="ar-SA"/>
          <w14:textFill>
            <w14:solidFill>
              <w14:schemeClr w14:val="tx1"/>
            </w14:solidFill>
          </w14:textFill>
        </w:rPr>
        <w:t>定竞得人。</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480" w:firstLineChars="200"/>
        <w:jc w:val="both"/>
        <w:textAlignment w:val="auto"/>
        <w:rPr>
          <w:rFonts w:hint="eastAsia" w:ascii="黑体" w:hAnsi="黑体" w:eastAsia="黑体" w:cs="黑体"/>
          <w:b w:val="0"/>
          <w:bCs w:val="0"/>
          <w:color w:val="000000" w:themeColor="text1"/>
          <w:kern w:val="2"/>
          <w:sz w:val="24"/>
          <w:szCs w:val="24"/>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2"/>
          <w:sz w:val="24"/>
          <w:szCs w:val="24"/>
          <w:highlight w:val="none"/>
          <w:lang w:val="en-US" w:eastAsia="zh-CN" w:bidi="ar"/>
          <w14:textFill>
            <w14:solidFill>
              <w14:schemeClr w14:val="tx1"/>
            </w14:solidFill>
          </w14:textFill>
        </w:rPr>
        <w:t xml:space="preserve">二、 竞投规则 </w:t>
      </w:r>
    </w:p>
    <w:p>
      <w:pPr>
        <w:pStyle w:val="7"/>
        <w:numPr>
          <w:ilvl w:val="0"/>
          <w:numId w:val="0"/>
        </w:numPr>
        <w:tabs>
          <w:tab w:val="left" w:pos="1201"/>
        </w:tabs>
        <w:spacing w:before="0" w:line="440" w:lineRule="exact"/>
        <w:ind w:left="0" w:firstLine="480" w:firstLineChars="200"/>
        <w:rPr>
          <w:rFonts w:hint="eastAsia"/>
          <w:b w:val="0"/>
          <w:bCs w:val="0"/>
          <w:color w:val="000000" w:themeColor="text1"/>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（一）项目的</w:t>
      </w:r>
      <w:r>
        <w:rPr>
          <w:rFonts w:hint="eastAsia"/>
          <w:b w:val="0"/>
          <w:bCs w:val="0"/>
          <w:color w:val="000000" w:themeColor="text1"/>
          <w:spacing w:val="0"/>
          <w:sz w:val="24"/>
          <w:szCs w:val="24"/>
          <w:highlight w:val="none"/>
          <w:lang w:val="en-US" w:eastAsia="zh-CN" w:bidi="ar-SA"/>
          <w14:textFill>
            <w14:solidFill>
              <w14:schemeClr w14:val="tx1"/>
            </w14:solidFill>
          </w14:textFill>
        </w:rPr>
        <w:t>交易底价及竞投</w:t>
      </w:r>
      <w:r>
        <w:rPr>
          <w:rFonts w:hint="eastAsia" w:cs="宋体"/>
          <w:color w:val="000000" w:themeColor="text1"/>
          <w:sz w:val="24"/>
          <w:szCs w:val="24"/>
          <w:lang w:val="en-US" w:eastAsia="zh-CN"/>
          <w14:textFill>
            <w14:solidFill>
              <w14:schemeClr w14:val="tx1"/>
            </w14:solidFill>
          </w14:textFill>
        </w:rPr>
        <w:t>最低加价幅度</w:t>
      </w:r>
      <w:r>
        <w:rPr>
          <w:rFonts w:hint="eastAsia" w:cs="宋体"/>
          <w:color w:val="000000" w:themeColor="text1"/>
          <w:sz w:val="24"/>
          <w:szCs w:val="24"/>
          <w:lang w:val="en-US" w:eastAsia="zh-CN"/>
          <w14:textFill>
            <w14:solidFill>
              <w14:schemeClr w14:val="tx1"/>
            </w14:solidFill>
          </w14:textFill>
        </w:rPr>
        <w:t>由</w:t>
      </w:r>
      <w:r>
        <w:rPr>
          <w:rFonts w:hint="eastAsia"/>
          <w:b w:val="0"/>
          <w:bCs w:val="0"/>
          <w:color w:val="000000" w:themeColor="text1"/>
          <w:spacing w:val="0"/>
          <w:sz w:val="24"/>
          <w:szCs w:val="24"/>
          <w:highlight w:val="none"/>
          <w:lang w:val="en-US" w:eastAsia="zh-CN" w:bidi="ar-SA"/>
          <w14:textFill>
            <w14:solidFill>
              <w14:schemeClr w14:val="tx1"/>
            </w14:solidFill>
          </w14:textFill>
        </w:rPr>
        <w:t>权属方设定，详见交易公告</w:t>
      </w:r>
      <w:r>
        <w:rPr>
          <w:rFonts w:hint="eastAsia"/>
          <w:b w:val="0"/>
          <w:bCs w:val="0"/>
          <w:color w:val="000000" w:themeColor="text1"/>
          <w:spacing w:val="0"/>
          <w:sz w:val="24"/>
          <w:szCs w:val="24"/>
          <w:highlight w:val="none"/>
          <w:lang w:val="en-US" w:bidi="ar-SA"/>
          <w14:textFill>
            <w14:solidFill>
              <w14:schemeClr w14:val="tx1"/>
            </w14:solidFill>
          </w14:textFill>
        </w:rPr>
        <w:t>。</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系统提示</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活动开始后</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系统</w:t>
      </w:r>
      <w:r>
        <w:rPr>
          <w:rFonts w:hint="eastAsia"/>
          <w:b w:val="0"/>
          <w:bCs w:val="0"/>
          <w:color w:val="000000" w:themeColor="text1"/>
          <w:spacing w:val="0"/>
          <w:sz w:val="24"/>
          <w:szCs w:val="24"/>
          <w:highlight w:val="none"/>
          <w:lang w:val="en-US" w:eastAsia="zh-CN" w:bidi="ar-SA"/>
          <w14:textFill>
            <w14:solidFill>
              <w14:schemeClr w14:val="tx1"/>
            </w14:solidFill>
          </w14:textFill>
        </w:rPr>
        <w:t>竞投时长默认为</w:t>
      </w:r>
      <w:r>
        <w:rPr>
          <w:rFonts w:hint="eastAsia"/>
          <w:b w:val="0"/>
          <w:bCs w:val="0"/>
          <w:color w:val="000000" w:themeColor="text1"/>
          <w:sz w:val="24"/>
          <w:szCs w:val="24"/>
          <w:highlight w:val="none"/>
          <w:lang w:val="en-US" w:bidi="ar-SA"/>
          <w14:textFill>
            <w14:solidFill>
              <w14:schemeClr w14:val="tx1"/>
            </w14:solidFill>
          </w14:textFill>
        </w:rPr>
        <w:t>30</w:t>
      </w:r>
      <w:r>
        <w:rPr>
          <w:rFonts w:hint="eastAsia"/>
          <w:b w:val="0"/>
          <w:bCs w:val="0"/>
          <w:color w:val="000000" w:themeColor="text1"/>
          <w:spacing w:val="0"/>
          <w:sz w:val="24"/>
          <w:szCs w:val="24"/>
          <w:highlight w:val="none"/>
          <w:lang w:val="en-US" w:bidi="ar-SA"/>
          <w14:textFill>
            <w14:solidFill>
              <w14:schemeClr w14:val="tx1"/>
            </w14:solidFill>
          </w14:textFill>
        </w:rPr>
        <w:t>分钟</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，所有竞投人都可以按照项目的</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规则进行报价</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第一位报价的竞投人可以报出交易底价，也可以直接报出高于交易底价的价格，但高出交易底价的部分必须为</w:t>
      </w:r>
      <w:r>
        <w:rPr>
          <w:rFonts w:hint="eastAsia"/>
          <w:b w:val="0"/>
          <w:bCs w:val="0"/>
          <w:color w:val="000000" w:themeColor="text1"/>
          <w:spacing w:val="0"/>
          <w:sz w:val="24"/>
          <w:szCs w:val="24"/>
          <w:highlight w:val="none"/>
          <w:lang w:val="en-US" w:eastAsia="zh-CN" w:bidi="ar-SA"/>
          <w14:textFill>
            <w14:solidFill>
              <w14:schemeClr w14:val="tx1"/>
            </w14:solidFill>
          </w14:textFill>
        </w:rPr>
        <w:t>权属方设定的</w:t>
      </w:r>
      <w:r>
        <w:rPr>
          <w:rFonts w:hint="eastAsia"/>
          <w:b w:val="0"/>
          <w:bCs w:val="0"/>
          <w:color w:val="000000" w:themeColor="text1"/>
          <w:spacing w:val="0"/>
          <w:sz w:val="24"/>
          <w:szCs w:val="24"/>
          <w:highlight w:val="none"/>
          <w:shd w:val="clear" w:color="auto" w:fill="auto"/>
          <w:lang w:val="en-US" w:eastAsia="zh-CN" w:bidi="ar-SA"/>
          <w14:textFill>
            <w14:solidFill>
              <w14:schemeClr w14:val="tx1"/>
            </w14:solidFill>
          </w14:textFill>
        </w:rPr>
        <w:t>最低加价幅度</w:t>
      </w:r>
      <w:r>
        <w:rPr>
          <w:rFonts w:hint="eastAsia"/>
          <w:b w:val="0"/>
          <w:bCs w:val="0"/>
          <w:color w:val="000000" w:themeColor="text1"/>
          <w:sz w:val="24"/>
          <w:szCs w:val="24"/>
          <w:highlight w:val="none"/>
          <w:shd w:val="clear" w:color="auto" w:fill="auto"/>
          <w:lang w:val="en-US" w:bidi="ar-SA"/>
          <w14:textFill>
            <w14:solidFill>
              <w14:schemeClr w14:val="tx1"/>
            </w14:solidFill>
          </w14:textFill>
        </w:rPr>
        <w:t>的</w:t>
      </w:r>
      <w:r>
        <w:rPr>
          <w:rFonts w:hint="eastAsia"/>
          <w:b w:val="0"/>
          <w:bCs w:val="0"/>
          <w:color w:val="000000" w:themeColor="text1"/>
          <w:sz w:val="24"/>
          <w:szCs w:val="24"/>
          <w:highlight w:val="none"/>
          <w:lang w:val="en-US" w:bidi="ar-SA"/>
          <w14:textFill>
            <w14:solidFill>
              <w14:schemeClr w14:val="tx1"/>
            </w14:solidFill>
          </w14:textFill>
        </w:rPr>
        <w:t>整数倍</w:t>
      </w:r>
      <w:r>
        <w:rPr>
          <w:rFonts w:hint="eastAsia"/>
          <w:b w:val="0"/>
          <w:bCs w:val="0"/>
          <w:color w:val="000000" w:themeColor="text1"/>
          <w:spacing w:val="0"/>
          <w:sz w:val="24"/>
          <w:szCs w:val="24"/>
          <w:highlight w:val="none"/>
          <w:lang w:val="en-US" w:bidi="ar-SA"/>
          <w14:textFill>
            <w14:solidFill>
              <w14:schemeClr w14:val="tx1"/>
            </w14:solidFill>
          </w14:textFill>
        </w:rPr>
        <w:t>方为有效报价。从第二位报价的竞投人开始，竞投人报出的价格都必须高于前一位竞投人报出的有效价格，且高出部分的价格必须为</w:t>
      </w:r>
      <w:r>
        <w:rPr>
          <w:rFonts w:hint="eastAsia"/>
          <w:b w:val="0"/>
          <w:bCs w:val="0"/>
          <w:color w:val="000000" w:themeColor="text1"/>
          <w:spacing w:val="0"/>
          <w:sz w:val="24"/>
          <w:szCs w:val="24"/>
          <w:highlight w:val="none"/>
          <w:lang w:val="en-US" w:eastAsia="zh-CN" w:bidi="ar-SA"/>
          <w14:textFill>
            <w14:solidFill>
              <w14:schemeClr w14:val="tx1"/>
            </w14:solidFill>
          </w14:textFill>
        </w:rPr>
        <w:t>上述</w:t>
      </w:r>
      <w:r>
        <w:rPr>
          <w:rFonts w:hint="eastAsia"/>
          <w:b w:val="0"/>
          <w:bCs w:val="0"/>
          <w:color w:val="000000" w:themeColor="text1"/>
          <w:sz w:val="24"/>
          <w:szCs w:val="24"/>
          <w:highlight w:val="none"/>
          <w:lang w:val="en-US" w:eastAsia="zh-CN" w:bidi="ar-SA"/>
          <w14:textFill>
            <w14:solidFill>
              <w14:schemeClr w14:val="tx1"/>
            </w14:solidFill>
          </w14:textFill>
        </w:rPr>
        <w:t>最低加价幅度</w:t>
      </w:r>
      <w:r>
        <w:rPr>
          <w:rFonts w:hint="eastAsia"/>
          <w:b w:val="0"/>
          <w:bCs w:val="0"/>
          <w:color w:val="000000" w:themeColor="text1"/>
          <w:sz w:val="24"/>
          <w:szCs w:val="24"/>
          <w:highlight w:val="none"/>
          <w:lang w:val="en-US" w:bidi="ar-SA"/>
          <w14:textFill>
            <w14:solidFill>
              <w14:schemeClr w14:val="tx1"/>
            </w14:solidFill>
          </w14:textFill>
        </w:rPr>
        <w:t>的整数倍方为有效报价。</w:t>
      </w:r>
    </w:p>
    <w:p>
      <w:pPr>
        <w:pStyle w:val="7"/>
        <w:numPr>
          <w:ilvl w:val="0"/>
          <w:numId w:val="0"/>
        </w:numPr>
        <w:tabs>
          <w:tab w:val="left" w:pos="1201"/>
        </w:tabs>
        <w:spacing w:before="0" w:line="440" w:lineRule="exact"/>
        <w:ind w:left="0" w:right="225" w:firstLine="480" w:firstLineChars="200"/>
        <w:jc w:val="both"/>
        <w:rPr>
          <w:rFonts w:hint="eastAsia"/>
          <w:b w:val="0"/>
          <w:bCs w:val="0"/>
          <w:color w:val="000000" w:themeColor="text1"/>
          <w:spacing w:val="0"/>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（二）</w:t>
      </w:r>
      <w:r>
        <w:rPr>
          <w:rFonts w:hint="eastAsia"/>
          <w:b w:val="0"/>
          <w:bCs w:val="0"/>
          <w:color w:val="000000" w:themeColor="text1"/>
          <w:spacing w:val="0"/>
          <w:sz w:val="24"/>
          <w:szCs w:val="24"/>
          <w:highlight w:val="none"/>
          <w:lang w:val="en-US" w:bidi="ar-SA"/>
          <w14:textFill>
            <w14:solidFill>
              <w14:schemeClr w14:val="tx1"/>
            </w14:solidFill>
          </w14:textFill>
        </w:rPr>
        <w:t>在</w:t>
      </w:r>
      <w:r>
        <w:rPr>
          <w:rFonts w:hint="eastAsia"/>
          <w:b w:val="0"/>
          <w:bCs w:val="0"/>
          <w:color w:val="000000" w:themeColor="text1"/>
          <w:spacing w:val="0"/>
          <w:sz w:val="24"/>
          <w:szCs w:val="24"/>
          <w:highlight w:val="none"/>
          <w:lang w:val="en-US" w:bidi="ar-SA"/>
          <w14:textFill>
            <w14:solidFill>
              <w14:schemeClr w14:val="tx1"/>
            </w14:solidFill>
          </w14:textFill>
        </w:rPr>
        <w:t>竞投开始至</w:t>
      </w:r>
      <w:r>
        <w:rPr>
          <w:rFonts w:hint="eastAsia"/>
          <w:b w:val="0"/>
          <w:bCs w:val="0"/>
          <w:color w:val="000000" w:themeColor="text1"/>
          <w:sz w:val="24"/>
          <w:szCs w:val="24"/>
          <w:highlight w:val="none"/>
          <w:lang w:val="en-US" w:bidi="ar-SA"/>
          <w14:textFill>
            <w14:solidFill>
              <w14:schemeClr w14:val="tx1"/>
            </w14:solidFill>
          </w14:textFill>
        </w:rPr>
        <w:t>30</w:t>
      </w:r>
      <w:r>
        <w:rPr>
          <w:rFonts w:hint="eastAsia"/>
          <w:b w:val="0"/>
          <w:bCs w:val="0"/>
          <w:color w:val="000000" w:themeColor="text1"/>
          <w:spacing w:val="0"/>
          <w:sz w:val="24"/>
          <w:szCs w:val="24"/>
          <w:highlight w:val="none"/>
          <w:lang w:val="en-US" w:bidi="ar-SA"/>
          <w14:textFill>
            <w14:solidFill>
              <w14:schemeClr w14:val="tx1"/>
            </w14:solidFill>
          </w14:textFill>
        </w:rPr>
        <w:t>分钟</w:t>
      </w:r>
      <w:r>
        <w:rPr>
          <w:rFonts w:hint="eastAsia"/>
          <w:b w:val="0"/>
          <w:bCs w:val="0"/>
          <w:color w:val="000000" w:themeColor="text1"/>
          <w:spacing w:val="0"/>
          <w:sz w:val="24"/>
          <w:szCs w:val="24"/>
          <w:highlight w:val="none"/>
          <w:lang w:val="en-US" w:bidi="ar-SA"/>
          <w14:textFill>
            <w14:solidFill>
              <w14:schemeClr w14:val="tx1"/>
            </w14:solidFill>
          </w14:textFill>
        </w:rPr>
        <w:t>倒计时结束前，</w:t>
      </w:r>
      <w:r>
        <w:rPr>
          <w:rFonts w:hint="eastAsia"/>
          <w:b w:val="0"/>
          <w:bCs w:val="0"/>
          <w:color w:val="000000" w:themeColor="text1"/>
          <w:spacing w:val="0"/>
          <w:sz w:val="24"/>
          <w:szCs w:val="24"/>
          <w:highlight w:val="none"/>
          <w:lang w:val="en-US" w:eastAsia="zh-CN" w:bidi="ar-SA"/>
          <w14:textFill>
            <w14:solidFill>
              <w14:schemeClr w14:val="tx1"/>
            </w14:solidFill>
          </w14:textFill>
        </w:rPr>
        <w:t>所有</w:t>
      </w:r>
      <w:r>
        <w:rPr>
          <w:rFonts w:hint="eastAsia"/>
          <w:b w:val="0"/>
          <w:bCs w:val="0"/>
          <w:color w:val="000000" w:themeColor="text1"/>
          <w:spacing w:val="0"/>
          <w:sz w:val="24"/>
          <w:szCs w:val="24"/>
          <w:highlight w:val="none"/>
          <w:lang w:val="en-US" w:bidi="ar-SA"/>
          <w14:textFill>
            <w14:solidFill>
              <w14:schemeClr w14:val="tx1"/>
            </w14:solidFill>
          </w14:textFill>
        </w:rPr>
        <w:t>竞投人都可出价</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竞投人一旦报价有效时，前一次报价的竞投人报出的价格则自动默认为“非最高价”，以此类推。在</w:t>
      </w:r>
      <w:r>
        <w:rPr>
          <w:rFonts w:hint="eastAsia"/>
          <w:b w:val="0"/>
          <w:bCs w:val="0"/>
          <w:color w:val="000000" w:themeColor="text1"/>
          <w:spacing w:val="0"/>
          <w:sz w:val="24"/>
          <w:szCs w:val="24"/>
          <w:highlight w:val="none"/>
          <w:lang w:val="en-US" w:bidi="ar-SA"/>
          <w14:textFill>
            <w14:solidFill>
              <w14:schemeClr w14:val="tx1"/>
            </w14:solidFill>
          </w14:textFill>
        </w:rPr>
        <w:t>倒计时剩余时间小于</w:t>
      </w:r>
      <w:r>
        <w:rPr>
          <w:rFonts w:hint="eastAsia"/>
          <w:b w:val="0"/>
          <w:bCs w:val="0"/>
          <w:color w:val="000000" w:themeColor="text1"/>
          <w:sz w:val="24"/>
          <w:szCs w:val="24"/>
          <w:highlight w:val="none"/>
          <w:lang w:val="en-US" w:bidi="ar-SA"/>
          <w14:textFill>
            <w14:solidFill>
              <w14:schemeClr w14:val="tx1"/>
            </w14:solidFill>
          </w14:textFill>
        </w:rPr>
        <w:t>3</w:t>
      </w:r>
      <w:r>
        <w:rPr>
          <w:rFonts w:hint="eastAsia"/>
          <w:b w:val="0"/>
          <w:bCs w:val="0"/>
          <w:color w:val="000000" w:themeColor="text1"/>
          <w:spacing w:val="0"/>
          <w:sz w:val="24"/>
          <w:szCs w:val="24"/>
          <w:highlight w:val="none"/>
          <w:lang w:val="en-US" w:bidi="ar-SA"/>
          <w14:textFill>
            <w14:solidFill>
              <w14:schemeClr w14:val="tx1"/>
            </w14:solidFill>
          </w14:textFill>
        </w:rPr>
        <w:t>分钟时</w:t>
      </w:r>
      <w:r>
        <w:rPr>
          <w:rFonts w:hint="eastAsia"/>
          <w:b w:val="0"/>
          <w:bCs w:val="0"/>
          <w:color w:val="000000" w:themeColor="text1"/>
          <w:spacing w:val="0"/>
          <w:sz w:val="24"/>
          <w:szCs w:val="24"/>
          <w:highlight w:val="none"/>
          <w:lang w:val="en-US" w:bidi="ar-SA"/>
          <w14:textFill>
            <w14:solidFill>
              <w14:schemeClr w14:val="tx1"/>
            </w14:solidFill>
          </w14:textFill>
        </w:rPr>
        <w:t>，</w:t>
      </w:r>
      <w:r>
        <w:rPr>
          <w:rFonts w:hint="eastAsia"/>
          <w:b w:val="0"/>
          <w:bCs w:val="0"/>
          <w:color w:val="000000" w:themeColor="text1"/>
          <w:spacing w:val="0"/>
          <w:sz w:val="24"/>
          <w:szCs w:val="24"/>
          <w:highlight w:val="none"/>
          <w:lang w:val="en-US" w:eastAsia="zh-CN" w:bidi="ar-SA"/>
          <w14:textFill>
            <w14:solidFill>
              <w14:schemeClr w14:val="tx1"/>
            </w14:solidFill>
          </w14:textFill>
        </w:rPr>
        <w:t>只要任何一方报出有效价</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系统将自动延时</w:t>
      </w:r>
      <w:r>
        <w:rPr>
          <w:rFonts w:hint="eastAsia"/>
          <w:b w:val="0"/>
          <w:bCs w:val="0"/>
          <w:color w:val="000000" w:themeColor="text1"/>
          <w:sz w:val="24"/>
          <w:szCs w:val="24"/>
          <w:highlight w:val="none"/>
          <w:lang w:val="en-US" w:bidi="ar-SA"/>
          <w14:textFill>
            <w14:solidFill>
              <w14:schemeClr w14:val="tx1"/>
            </w14:solidFill>
          </w14:textFill>
        </w:rPr>
        <w:t>3</w:t>
      </w:r>
      <w:r>
        <w:rPr>
          <w:rFonts w:hint="eastAsia"/>
          <w:b w:val="0"/>
          <w:bCs w:val="0"/>
          <w:color w:val="000000" w:themeColor="text1"/>
          <w:spacing w:val="0"/>
          <w:sz w:val="24"/>
          <w:szCs w:val="24"/>
          <w:highlight w:val="none"/>
          <w:lang w:val="en-US" w:bidi="ar-SA"/>
          <w14:textFill>
            <w14:solidFill>
              <w14:schemeClr w14:val="tx1"/>
            </w14:solidFill>
          </w14:textFill>
        </w:rPr>
        <w:t>分钟</w:t>
      </w:r>
      <w:r>
        <w:rPr>
          <w:rFonts w:hint="eastAsia"/>
          <w:b w:val="0"/>
          <w:bCs w:val="0"/>
          <w:color w:val="000000" w:themeColor="text1"/>
          <w:spacing w:val="0"/>
          <w:sz w:val="24"/>
          <w:szCs w:val="24"/>
          <w:highlight w:val="none"/>
          <w:lang w:val="en-US" w:eastAsia="zh-CN" w:bidi="ar-SA"/>
          <w14:textFill>
            <w14:solidFill>
              <w14:schemeClr w14:val="tx1"/>
            </w14:solidFill>
          </w14:textFill>
        </w:rPr>
        <w:t>，</w:t>
      </w:r>
      <w:r>
        <w:rPr>
          <w:rFonts w:hint="eastAsia"/>
          <w:b w:val="0"/>
          <w:bCs w:val="0"/>
          <w:color w:val="000000" w:themeColor="text1"/>
          <w:spacing w:val="0"/>
          <w:sz w:val="24"/>
          <w:szCs w:val="24"/>
          <w:highlight w:val="none"/>
          <w:lang w:val="en-US" w:bidi="ar-SA"/>
          <w14:textFill>
            <w14:solidFill>
              <w14:schemeClr w14:val="tx1"/>
            </w14:solidFill>
          </w14:textFill>
        </w:rPr>
        <w:t>重新进行</w:t>
      </w:r>
      <w:r>
        <w:rPr>
          <w:rFonts w:hint="eastAsia"/>
          <w:b w:val="0"/>
          <w:bCs w:val="0"/>
          <w:color w:val="000000" w:themeColor="text1"/>
          <w:sz w:val="24"/>
          <w:szCs w:val="24"/>
          <w:highlight w:val="none"/>
          <w:lang w:val="en-US" w:bidi="ar-SA"/>
          <w14:textFill>
            <w14:solidFill>
              <w14:schemeClr w14:val="tx1"/>
            </w14:solidFill>
          </w14:textFill>
        </w:rPr>
        <w:t>3</w:t>
      </w:r>
      <w:r>
        <w:rPr>
          <w:rFonts w:hint="eastAsia"/>
          <w:b w:val="0"/>
          <w:bCs w:val="0"/>
          <w:color w:val="000000" w:themeColor="text1"/>
          <w:spacing w:val="0"/>
          <w:sz w:val="24"/>
          <w:szCs w:val="24"/>
          <w:highlight w:val="none"/>
          <w:lang w:val="en-US" w:bidi="ar-SA"/>
          <w14:textFill>
            <w14:solidFill>
              <w14:schemeClr w14:val="tx1"/>
            </w14:solidFill>
          </w14:textFill>
        </w:rPr>
        <w:t>分钟倒计时，循环往复至倒计时内无其他竞投人报出有效报价，最后一次有效报价则为最高价，报出该价格的竞投人为竞得人。</w:t>
      </w:r>
    </w:p>
    <w:p>
      <w:pPr>
        <w:pStyle w:val="7"/>
        <w:numPr>
          <w:ilvl w:val="-1"/>
          <w:numId w:val="0"/>
        </w:numPr>
        <w:tabs>
          <w:tab w:val="left" w:pos="1201"/>
        </w:tabs>
        <w:spacing w:before="0" w:line="440" w:lineRule="exact"/>
        <w:ind w:left="0" w:right="0" w:firstLine="480" w:firstLineChars="200"/>
        <w:jc w:val="both"/>
        <w:rPr>
          <w:rFonts w:hint="eastAsia"/>
          <w:b w:val="0"/>
          <w:bCs w:val="0"/>
          <w:color w:val="000000" w:themeColor="text1"/>
          <w:spacing w:val="0"/>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（三）如竞投结束均无人报价的，</w:t>
      </w:r>
      <w:r>
        <w:rPr>
          <w:rFonts w:hint="eastAsia"/>
          <w:b w:val="0"/>
          <w:bCs w:val="0"/>
          <w:color w:val="000000" w:themeColor="text1"/>
          <w:spacing w:val="0"/>
          <w:sz w:val="24"/>
          <w:szCs w:val="24"/>
          <w:highlight w:val="none"/>
          <w:lang w:val="en-US" w:bidi="ar-SA"/>
          <w14:textFill>
            <w14:solidFill>
              <w14:schemeClr w14:val="tx1"/>
            </w14:solidFill>
          </w14:textFill>
        </w:rPr>
        <w:t>项目</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失败</w:t>
      </w:r>
      <w:r>
        <w:rPr>
          <w:rFonts w:hint="eastAsia"/>
          <w:b w:val="0"/>
          <w:bCs w:val="0"/>
          <w:color w:val="000000" w:themeColor="text1"/>
          <w:sz w:val="24"/>
          <w:szCs w:val="24"/>
          <w:highlight w:val="none"/>
          <w:lang w:val="en-US" w:bidi="ar-SA"/>
          <w14:textFill>
            <w14:solidFill>
              <w14:schemeClr w14:val="tx1"/>
            </w14:solidFill>
          </w14:textFill>
        </w:rPr>
        <w:t>。</w:t>
      </w:r>
    </w:p>
    <w:p>
      <w:pPr>
        <w:pStyle w:val="7"/>
        <w:numPr>
          <w:ilvl w:val="-1"/>
          <w:numId w:val="0"/>
        </w:numPr>
        <w:tabs>
          <w:tab w:val="left" w:pos="1201"/>
        </w:tabs>
        <w:spacing w:before="0" w:after="0" w:line="440" w:lineRule="exact"/>
        <w:ind w:left="0" w:right="0" w:firstLine="480" w:firstLineChars="200"/>
        <w:jc w:val="both"/>
        <w:rPr>
          <w:rFonts w:hint="eastAsia"/>
          <w:b w:val="0"/>
          <w:bCs w:val="0"/>
          <w:color w:val="000000" w:themeColor="text1"/>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（四）</w:t>
      </w:r>
      <w:r>
        <w:rPr>
          <w:rFonts w:hint="eastAsia"/>
          <w:b w:val="0"/>
          <w:bCs w:val="0"/>
          <w:color w:val="000000" w:themeColor="text1"/>
          <w:spacing w:val="0"/>
          <w:sz w:val="24"/>
          <w:szCs w:val="24"/>
          <w:highlight w:val="none"/>
          <w:lang w:val="en-US" w:eastAsia="zh-CN" w:bidi="ar-SA"/>
          <w14:textFill>
            <w14:solidFill>
              <w14:schemeClr w14:val="tx1"/>
            </w14:solidFill>
          </w14:textFill>
        </w:rPr>
        <w:t>对存在原租户优先权的项目，在原租户报名时，系统会对原租户身份信息进行审核确认，审核通过后方能在项目竞投中主张优先权，未报名参与交易或在报名时系统审核不通过的，则不具备该项目的优先权</w:t>
      </w:r>
      <w:r>
        <w:rPr>
          <w:rFonts w:hint="eastAsia"/>
          <w:b w:val="0"/>
          <w:bCs w:val="0"/>
          <w:color w:val="000000" w:themeColor="text1"/>
          <w:spacing w:val="0"/>
          <w:sz w:val="24"/>
          <w:szCs w:val="24"/>
          <w:highlight w:val="none"/>
          <w:lang w:val="en-US" w:bidi="ar-SA"/>
          <w14:textFill>
            <w14:solidFill>
              <w14:schemeClr w14:val="tx1"/>
            </w14:solidFill>
          </w14:textFill>
        </w:rPr>
        <w:t>。</w:t>
      </w:r>
    </w:p>
    <w:p>
      <w:pPr>
        <w:pStyle w:val="7"/>
        <w:numPr>
          <w:ilvl w:val="-1"/>
          <w:numId w:val="0"/>
        </w:numPr>
        <w:tabs>
          <w:tab w:val="left" w:pos="1201"/>
        </w:tabs>
        <w:spacing w:before="0" w:after="0" w:line="440" w:lineRule="exact"/>
        <w:ind w:left="0" w:right="0" w:firstLine="480" w:firstLineChars="200"/>
        <w:jc w:val="both"/>
        <w:rPr>
          <w:rFonts w:hint="eastAsia"/>
          <w:b w:val="0"/>
          <w:bCs w:val="0"/>
          <w:color w:val="000000" w:themeColor="text1"/>
          <w:spacing w:val="0"/>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（五）</w:t>
      </w:r>
      <w:r>
        <w:rPr>
          <w:rFonts w:hint="eastAsia"/>
          <w:b w:val="0"/>
          <w:bCs w:val="0"/>
          <w:color w:val="000000" w:themeColor="text1"/>
          <w:spacing w:val="0"/>
          <w:sz w:val="24"/>
          <w:szCs w:val="24"/>
          <w:highlight w:val="none"/>
          <w:lang w:val="en-US" w:bidi="ar-SA"/>
          <w14:textFill>
            <w14:solidFill>
              <w14:schemeClr w14:val="tx1"/>
            </w14:solidFill>
          </w14:textFill>
        </w:rPr>
        <w:t>已确认项目享有</w:t>
      </w:r>
      <w:r>
        <w:rPr>
          <w:rFonts w:hint="eastAsia"/>
          <w:b w:val="0"/>
          <w:bCs w:val="0"/>
          <w:color w:val="000000" w:themeColor="text1"/>
          <w:spacing w:val="0"/>
          <w:sz w:val="24"/>
          <w:szCs w:val="24"/>
          <w:highlight w:val="none"/>
          <w:lang w:val="en-US" w:eastAsia="zh-CN" w:bidi="ar-SA"/>
          <w14:textFill>
            <w14:solidFill>
              <w14:schemeClr w14:val="tx1"/>
            </w14:solidFill>
          </w14:textFill>
        </w:rPr>
        <w:t>优先权</w:t>
      </w:r>
      <w:r>
        <w:rPr>
          <w:rFonts w:hint="eastAsia"/>
          <w:b w:val="0"/>
          <w:bCs w:val="0"/>
          <w:color w:val="000000" w:themeColor="text1"/>
          <w:spacing w:val="0"/>
          <w:sz w:val="24"/>
          <w:szCs w:val="24"/>
          <w:highlight w:val="none"/>
          <w:lang w:val="en-US" w:bidi="ar-SA"/>
          <w14:textFill>
            <w14:solidFill>
              <w14:schemeClr w14:val="tx1"/>
            </w14:solidFill>
          </w14:textFill>
        </w:rPr>
        <w:t>的竞投人，在</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期间，</w:t>
      </w:r>
      <w:r>
        <w:rPr>
          <w:rFonts w:hint="eastAsia"/>
          <w:b w:val="0"/>
          <w:bCs w:val="0"/>
          <w:color w:val="000000" w:themeColor="text1"/>
          <w:spacing w:val="0"/>
          <w:sz w:val="24"/>
          <w:szCs w:val="24"/>
          <w:highlight w:val="none"/>
          <w:lang w:val="en-US" w:eastAsia="zh-CN" w:bidi="ar-SA"/>
          <w14:textFill>
            <w14:solidFill>
              <w14:schemeClr w14:val="tx1"/>
            </w14:solidFill>
          </w14:textFill>
        </w:rPr>
        <w:t>每次报价均需点击</w:t>
      </w:r>
      <w:r>
        <w:rPr>
          <w:rFonts w:hint="eastAsia"/>
          <w:b w:val="0"/>
          <w:bCs w:val="0"/>
          <w:color w:val="000000" w:themeColor="text1"/>
          <w:spacing w:val="0"/>
          <w:sz w:val="24"/>
          <w:szCs w:val="24"/>
          <w:highlight w:val="none"/>
          <w:lang w:val="en-US" w:bidi="ar-SA"/>
          <w14:textFill>
            <w14:solidFill>
              <w14:schemeClr w14:val="tx1"/>
            </w14:solidFill>
          </w14:textFill>
        </w:rPr>
        <w:t>系统</w:t>
      </w:r>
      <w:r>
        <w:rPr>
          <w:rFonts w:hint="eastAsia"/>
          <w:b w:val="0"/>
          <w:bCs w:val="0"/>
          <w:color w:val="000000" w:themeColor="text1"/>
          <w:spacing w:val="0"/>
          <w:sz w:val="24"/>
          <w:szCs w:val="24"/>
          <w:highlight w:val="none"/>
          <w:lang w:val="en-US" w:eastAsia="zh-CN" w:bidi="ar-SA"/>
          <w14:textFill>
            <w14:solidFill>
              <w14:schemeClr w14:val="tx1"/>
            </w14:solidFill>
          </w14:textFill>
        </w:rPr>
        <w:t>中</w:t>
      </w:r>
      <w:r>
        <w:rPr>
          <w:rFonts w:hint="eastAsia"/>
          <w:b w:val="0"/>
          <w:bCs w:val="0"/>
          <w:color w:val="000000" w:themeColor="text1"/>
          <w:spacing w:val="0"/>
          <w:sz w:val="24"/>
          <w:szCs w:val="24"/>
          <w:highlight w:val="none"/>
          <w:lang w:val="en-US" w:bidi="ar-SA"/>
          <w14:textFill>
            <w14:solidFill>
              <w14:schemeClr w14:val="tx1"/>
            </w14:solidFill>
          </w14:textFill>
        </w:rPr>
        <w:t>的“主张优先权”功能</w:t>
      </w:r>
      <w:r>
        <w:rPr>
          <w:rFonts w:hint="eastAsia"/>
          <w:b w:val="0"/>
          <w:bCs w:val="0"/>
          <w:color w:val="000000" w:themeColor="text1"/>
          <w:sz w:val="24"/>
          <w:szCs w:val="24"/>
          <w:highlight w:val="none"/>
          <w:lang w:val="en-US" w:bidi="ar-SA"/>
          <w14:textFill>
            <w14:solidFill>
              <w14:schemeClr w14:val="tx1"/>
            </w14:solidFill>
          </w14:textFill>
        </w:rPr>
        <w:t>（按钮）主张优先权</w:t>
      </w:r>
      <w:r>
        <w:rPr>
          <w:rFonts w:hint="eastAsia"/>
          <w:b w:val="0"/>
          <w:bCs w:val="0"/>
          <w:color w:val="000000" w:themeColor="text1"/>
          <w:sz w:val="24"/>
          <w:szCs w:val="24"/>
          <w:highlight w:val="none"/>
          <w:lang w:val="en-US" w:eastAsia="zh-CN" w:bidi="ar-SA"/>
          <w14:textFill>
            <w14:solidFill>
              <w14:schemeClr w14:val="tx1"/>
            </w14:solidFill>
          </w14:textFill>
        </w:rPr>
        <w:t>，否</w:t>
      </w:r>
      <w:r>
        <w:rPr>
          <w:rFonts w:hint="eastAsia"/>
          <w:b w:val="0"/>
          <w:bCs w:val="0"/>
          <w:color w:val="000000" w:themeColor="text1"/>
          <w:spacing w:val="0"/>
          <w:sz w:val="24"/>
          <w:szCs w:val="24"/>
          <w:highlight w:val="none"/>
          <w:lang w:val="en-US" w:eastAsia="zh-CN" w:bidi="ar-SA"/>
          <w14:textFill>
            <w14:solidFill>
              <w14:schemeClr w14:val="tx1"/>
            </w14:solidFill>
          </w14:textFill>
        </w:rPr>
        <w:t>则</w:t>
      </w:r>
      <w:r>
        <w:rPr>
          <w:rFonts w:hint="eastAsia"/>
          <w:b w:val="0"/>
          <w:bCs w:val="0"/>
          <w:color w:val="000000" w:themeColor="text1"/>
          <w:spacing w:val="0"/>
          <w:sz w:val="24"/>
          <w:szCs w:val="24"/>
          <w:highlight w:val="none"/>
          <w:lang w:val="en-US" w:bidi="ar-SA"/>
          <w14:textFill>
            <w14:solidFill>
              <w14:schemeClr w14:val="tx1"/>
            </w14:solidFill>
          </w14:textFill>
        </w:rPr>
        <w:t>视为在</w:t>
      </w:r>
      <w:r>
        <w:rPr>
          <w:rFonts w:hint="eastAsia"/>
          <w:b w:val="0"/>
          <w:bCs w:val="0"/>
          <w:color w:val="000000" w:themeColor="text1"/>
          <w:spacing w:val="0"/>
          <w:sz w:val="24"/>
          <w:szCs w:val="24"/>
          <w:highlight w:val="none"/>
          <w:lang w:val="en-US" w:eastAsia="zh-CN" w:bidi="ar-SA"/>
          <w14:textFill>
            <w14:solidFill>
              <w14:schemeClr w14:val="tx1"/>
            </w14:solidFill>
          </w14:textFill>
        </w:rPr>
        <w:t>该次报价</w:t>
      </w:r>
      <w:r>
        <w:rPr>
          <w:rFonts w:hint="eastAsia"/>
          <w:b w:val="0"/>
          <w:bCs w:val="0"/>
          <w:color w:val="000000" w:themeColor="text1"/>
          <w:spacing w:val="0"/>
          <w:sz w:val="24"/>
          <w:szCs w:val="24"/>
          <w:highlight w:val="none"/>
          <w:lang w:val="en-US" w:bidi="ar-SA"/>
          <w14:textFill>
            <w14:solidFill>
              <w14:schemeClr w14:val="tx1"/>
            </w14:solidFill>
          </w14:textFill>
        </w:rPr>
        <w:t>中放弃</w:t>
      </w:r>
      <w:r>
        <w:rPr>
          <w:rFonts w:hint="eastAsia"/>
          <w:b w:val="0"/>
          <w:bCs w:val="0"/>
          <w:color w:val="000000" w:themeColor="text1"/>
          <w:spacing w:val="0"/>
          <w:sz w:val="24"/>
          <w:szCs w:val="24"/>
          <w:highlight w:val="none"/>
          <w:lang w:val="en-US" w:eastAsia="zh-CN" w:bidi="ar-SA"/>
          <w14:textFill>
            <w14:solidFill>
              <w14:schemeClr w14:val="tx1"/>
            </w14:solidFill>
          </w14:textFill>
        </w:rPr>
        <w:t>优先权</w:t>
      </w:r>
      <w:r>
        <w:rPr>
          <w:rFonts w:hint="eastAsia"/>
          <w:b w:val="0"/>
          <w:bCs w:val="0"/>
          <w:color w:val="000000" w:themeColor="text1"/>
          <w:sz w:val="24"/>
          <w:szCs w:val="24"/>
          <w:highlight w:val="none"/>
          <w:lang w:val="en-US" w:bidi="ar-SA"/>
          <w14:textFill>
            <w14:solidFill>
              <w14:schemeClr w14:val="tx1"/>
            </w14:solidFill>
          </w14:textFill>
        </w:rPr>
        <w:t>。竞投人主张优先权后，</w:t>
      </w:r>
      <w:r>
        <w:rPr>
          <w:rFonts w:hint="eastAsia"/>
          <w:b w:val="0"/>
          <w:bCs w:val="0"/>
          <w:color w:val="000000" w:themeColor="text1"/>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系统默认该竞投人</w:t>
      </w:r>
      <w:r>
        <w:rPr>
          <w:rFonts w:hint="eastAsia"/>
          <w:b w:val="0"/>
          <w:bCs w:val="0"/>
          <w:color w:val="000000" w:themeColor="text1"/>
          <w:spacing w:val="0"/>
          <w:sz w:val="24"/>
          <w:szCs w:val="24"/>
          <w:highlight w:val="none"/>
          <w:lang w:val="en-US" w:eastAsia="zh-CN" w:bidi="ar-SA"/>
          <w14:textFill>
            <w14:solidFill>
              <w14:schemeClr w14:val="tx1"/>
            </w14:solidFill>
          </w14:textFill>
        </w:rPr>
        <w:t>本次报价与上一位竞投人相同</w:t>
      </w:r>
      <w:r>
        <w:rPr>
          <w:rFonts w:hint="eastAsia"/>
          <w:b w:val="0"/>
          <w:bCs w:val="0"/>
          <w:color w:val="000000" w:themeColor="text1"/>
          <w:spacing w:val="0"/>
          <w:sz w:val="24"/>
          <w:szCs w:val="24"/>
          <w:highlight w:val="none"/>
          <w:lang w:val="en-US" w:bidi="ar-SA"/>
          <w14:textFill>
            <w14:solidFill>
              <w14:schemeClr w14:val="tx1"/>
            </w14:solidFill>
          </w14:textFill>
        </w:rPr>
        <w:t>，在</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结束前如无其他竞投人再报出有效价格的，主张优先权的竞投人则以该报价竞得该项目。</w:t>
      </w:r>
    </w:p>
    <w:p>
      <w:pPr>
        <w:pStyle w:val="7"/>
        <w:numPr>
          <w:ilvl w:val="-1"/>
          <w:numId w:val="0"/>
        </w:numPr>
        <w:tabs>
          <w:tab w:val="left" w:pos="1201"/>
        </w:tabs>
        <w:spacing w:before="0" w:after="0" w:line="440" w:lineRule="exact"/>
        <w:ind w:left="0" w:right="0" w:firstLine="480" w:firstLineChars="200"/>
        <w:jc w:val="both"/>
        <w:rPr>
          <w:rFonts w:hint="eastAsia"/>
          <w:b w:val="0"/>
          <w:bCs w:val="0"/>
          <w:color w:val="000000" w:themeColor="text1"/>
          <w:spacing w:val="0"/>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bidi="ar-SA"/>
          <w14:textFill>
            <w14:solidFill>
              <w14:schemeClr w14:val="tx1"/>
            </w14:solidFill>
          </w14:textFill>
        </w:rPr>
        <w:t>享有</w:t>
      </w:r>
      <w:r>
        <w:rPr>
          <w:rFonts w:hint="eastAsia"/>
          <w:b w:val="0"/>
          <w:bCs w:val="0"/>
          <w:color w:val="000000" w:themeColor="text1"/>
          <w:spacing w:val="0"/>
          <w:sz w:val="24"/>
          <w:szCs w:val="24"/>
          <w:highlight w:val="none"/>
          <w:lang w:val="en-US" w:eastAsia="zh-CN" w:bidi="ar-SA"/>
          <w14:textFill>
            <w14:solidFill>
              <w14:schemeClr w14:val="tx1"/>
            </w14:solidFill>
          </w14:textFill>
        </w:rPr>
        <w:t>优先权</w:t>
      </w:r>
      <w:r>
        <w:rPr>
          <w:rFonts w:hint="eastAsia"/>
          <w:b w:val="0"/>
          <w:bCs w:val="0"/>
          <w:color w:val="000000" w:themeColor="text1"/>
          <w:spacing w:val="0"/>
          <w:sz w:val="24"/>
          <w:szCs w:val="24"/>
          <w:highlight w:val="none"/>
          <w:lang w:val="en-US" w:bidi="ar-SA"/>
          <w14:textFill>
            <w14:solidFill>
              <w14:schemeClr w14:val="tx1"/>
            </w14:solidFill>
          </w14:textFill>
        </w:rPr>
        <w:t>的竞投人主张优先权</w:t>
      </w:r>
      <w:r>
        <w:rPr>
          <w:rFonts w:hint="eastAsia"/>
          <w:b w:val="0"/>
          <w:bCs w:val="0"/>
          <w:color w:val="000000" w:themeColor="text1"/>
          <w:spacing w:val="0"/>
          <w:sz w:val="24"/>
          <w:szCs w:val="24"/>
          <w:highlight w:val="none"/>
          <w:lang w:val="en-US" w:eastAsia="zh-CN" w:bidi="ar-SA"/>
          <w14:textFill>
            <w14:solidFill>
              <w14:schemeClr w14:val="tx1"/>
            </w14:solidFill>
          </w14:textFill>
        </w:rPr>
        <w:t>并报价</w:t>
      </w:r>
      <w:r>
        <w:rPr>
          <w:rFonts w:hint="eastAsia"/>
          <w:b w:val="0"/>
          <w:bCs w:val="0"/>
          <w:color w:val="000000" w:themeColor="text1"/>
          <w:spacing w:val="0"/>
          <w:sz w:val="24"/>
          <w:szCs w:val="24"/>
          <w:highlight w:val="none"/>
          <w:lang w:val="en-US" w:bidi="ar-SA"/>
          <w14:textFill>
            <w14:solidFill>
              <w14:schemeClr w14:val="tx1"/>
            </w14:solidFill>
          </w14:textFill>
        </w:rPr>
        <w:t>后，一旦有其他竞投人继续报出有效价格的，享有</w:t>
      </w:r>
      <w:r>
        <w:rPr>
          <w:rFonts w:hint="eastAsia"/>
          <w:b w:val="0"/>
          <w:bCs w:val="0"/>
          <w:color w:val="000000" w:themeColor="text1"/>
          <w:spacing w:val="0"/>
          <w:sz w:val="24"/>
          <w:szCs w:val="24"/>
          <w:highlight w:val="none"/>
          <w:lang w:val="en-US" w:eastAsia="zh-CN" w:bidi="ar-SA"/>
          <w14:textFill>
            <w14:solidFill>
              <w14:schemeClr w14:val="tx1"/>
            </w14:solidFill>
          </w14:textFill>
        </w:rPr>
        <w:t>优先权</w:t>
      </w:r>
      <w:r>
        <w:rPr>
          <w:rFonts w:hint="eastAsia"/>
          <w:b w:val="0"/>
          <w:bCs w:val="0"/>
          <w:color w:val="000000" w:themeColor="text1"/>
          <w:spacing w:val="0"/>
          <w:sz w:val="24"/>
          <w:szCs w:val="24"/>
          <w:highlight w:val="none"/>
          <w:lang w:val="en-US" w:bidi="ar-SA"/>
          <w14:textFill>
            <w14:solidFill>
              <w14:schemeClr w14:val="tx1"/>
            </w14:solidFill>
          </w14:textFill>
        </w:rPr>
        <w:t>的竞投人之前主张的优先权则失效，但享有</w:t>
      </w:r>
      <w:r>
        <w:rPr>
          <w:rFonts w:hint="eastAsia"/>
          <w:b w:val="0"/>
          <w:bCs w:val="0"/>
          <w:color w:val="000000" w:themeColor="text1"/>
          <w:spacing w:val="0"/>
          <w:sz w:val="24"/>
          <w:szCs w:val="24"/>
          <w:highlight w:val="none"/>
          <w:lang w:val="en-US" w:eastAsia="zh-CN" w:bidi="ar-SA"/>
          <w14:textFill>
            <w14:solidFill>
              <w14:schemeClr w14:val="tx1"/>
            </w14:solidFill>
          </w14:textFill>
        </w:rPr>
        <w:t>优先权</w:t>
      </w:r>
      <w:r>
        <w:rPr>
          <w:rFonts w:hint="eastAsia"/>
          <w:b w:val="0"/>
          <w:bCs w:val="0"/>
          <w:color w:val="000000" w:themeColor="text1"/>
          <w:spacing w:val="0"/>
          <w:sz w:val="24"/>
          <w:szCs w:val="24"/>
          <w:highlight w:val="none"/>
          <w:lang w:val="en-US" w:bidi="ar-SA"/>
          <w14:textFill>
            <w14:solidFill>
              <w14:schemeClr w14:val="tx1"/>
            </w14:solidFill>
          </w14:textFill>
        </w:rPr>
        <w:t>的竞投人可以继续以其他竞投人最新的报价主张优先权，直至产生竞得人。</w:t>
      </w:r>
    </w:p>
    <w:p>
      <w:pPr>
        <w:pStyle w:val="7"/>
        <w:numPr>
          <w:ilvl w:val="0"/>
          <w:numId w:val="0"/>
        </w:numPr>
        <w:tabs>
          <w:tab w:val="left" w:pos="1201"/>
        </w:tabs>
        <w:spacing w:before="66" w:line="440" w:lineRule="exact"/>
        <w:ind w:firstLine="480" w:firstLineChars="200"/>
        <w:jc w:val="both"/>
        <w:rPr>
          <w:rFonts w:hint="eastAsia"/>
          <w:b w:val="0"/>
          <w:bCs w:val="0"/>
          <w:color w:val="000000" w:themeColor="text1"/>
          <w:sz w:val="24"/>
          <w:szCs w:val="24"/>
          <w:highlight w:val="none"/>
          <w:lang w:val="en-US"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（六）竞投</w:t>
      </w:r>
      <w:r>
        <w:rPr>
          <w:rFonts w:hint="eastAsia"/>
          <w:b w:val="0"/>
          <w:bCs w:val="0"/>
          <w:color w:val="000000" w:themeColor="text1"/>
          <w:spacing w:val="0"/>
          <w:sz w:val="24"/>
          <w:szCs w:val="24"/>
          <w:highlight w:val="none"/>
          <w:lang w:val="en-US" w:bidi="ar-SA"/>
          <w14:textFill>
            <w14:solidFill>
              <w14:schemeClr w14:val="tx1"/>
            </w14:solidFill>
          </w14:textFill>
        </w:rPr>
        <w:t>系统为每一个竞投人分配一个</w:t>
      </w:r>
      <w:r>
        <w:rPr>
          <w:rFonts w:hint="eastAsia"/>
          <w:b w:val="0"/>
          <w:bCs w:val="0"/>
          <w:color w:val="000000" w:themeColor="text1"/>
          <w:spacing w:val="0"/>
          <w:sz w:val="24"/>
          <w:szCs w:val="24"/>
          <w:highlight w:val="none"/>
          <w:lang w:val="en-US" w:eastAsia="zh-CN" w:bidi="ar-SA"/>
          <w14:textFill>
            <w14:solidFill>
              <w14:schemeClr w14:val="tx1"/>
            </w14:solidFill>
          </w14:textFill>
        </w:rPr>
        <w:t>竞投席位</w:t>
      </w:r>
      <w:r>
        <w:rPr>
          <w:rFonts w:hint="eastAsia"/>
          <w:b w:val="0"/>
          <w:bCs w:val="0"/>
          <w:color w:val="000000" w:themeColor="text1"/>
          <w:spacing w:val="0"/>
          <w:sz w:val="24"/>
          <w:szCs w:val="24"/>
          <w:highlight w:val="none"/>
          <w:lang w:val="en-US" w:bidi="ar-SA"/>
          <w14:textFill>
            <w14:solidFill>
              <w14:schemeClr w14:val="tx1"/>
            </w14:solidFill>
          </w14:textFill>
        </w:rPr>
        <w:t>号，</w:t>
      </w:r>
      <w:r>
        <w:rPr>
          <w:rFonts w:hint="eastAsia"/>
          <w:b w:val="0"/>
          <w:bCs w:val="0"/>
          <w:color w:val="000000" w:themeColor="text1"/>
          <w:spacing w:val="0"/>
          <w:sz w:val="24"/>
          <w:szCs w:val="24"/>
          <w:highlight w:val="none"/>
          <w:lang w:val="en-US" w:eastAsia="zh-CN" w:bidi="ar-SA"/>
          <w14:textFill>
            <w14:solidFill>
              <w14:schemeClr w14:val="tx1"/>
            </w14:solidFill>
          </w14:textFill>
        </w:rPr>
        <w:t>竞投</w:t>
      </w:r>
      <w:r>
        <w:rPr>
          <w:rFonts w:hint="eastAsia"/>
          <w:b w:val="0"/>
          <w:bCs w:val="0"/>
          <w:color w:val="000000" w:themeColor="text1"/>
          <w:spacing w:val="0"/>
          <w:sz w:val="24"/>
          <w:szCs w:val="24"/>
          <w:highlight w:val="none"/>
          <w:lang w:val="en-US" w:bidi="ar-SA"/>
          <w14:textFill>
            <w14:solidFill>
              <w14:schemeClr w14:val="tx1"/>
            </w14:solidFill>
          </w14:textFill>
        </w:rPr>
        <w:t>活动结束前，各竞投人以</w:t>
      </w:r>
      <w:r>
        <w:rPr>
          <w:rFonts w:hint="eastAsia"/>
          <w:b w:val="0"/>
          <w:bCs w:val="0"/>
          <w:color w:val="000000" w:themeColor="text1"/>
          <w:spacing w:val="0"/>
          <w:sz w:val="24"/>
          <w:szCs w:val="24"/>
          <w:highlight w:val="none"/>
          <w:lang w:val="en-US" w:eastAsia="zh-CN" w:bidi="ar-SA"/>
          <w14:textFill>
            <w14:solidFill>
              <w14:schemeClr w14:val="tx1"/>
            </w14:solidFill>
          </w14:textFill>
        </w:rPr>
        <w:t>竞投席位</w:t>
      </w:r>
      <w:r>
        <w:rPr>
          <w:rFonts w:hint="eastAsia"/>
          <w:b w:val="0"/>
          <w:bCs w:val="0"/>
          <w:color w:val="000000" w:themeColor="text1"/>
          <w:sz w:val="24"/>
          <w:szCs w:val="24"/>
          <w:highlight w:val="none"/>
          <w:lang w:val="en-US" w:bidi="ar-SA"/>
          <w14:textFill>
            <w14:solidFill>
              <w14:schemeClr w14:val="tx1"/>
            </w14:solidFill>
          </w14:textFill>
        </w:rPr>
        <w:t>号参与</w:t>
      </w:r>
      <w:r>
        <w:rPr>
          <w:rFonts w:hint="eastAsia"/>
          <w:b w:val="0"/>
          <w:bCs w:val="0"/>
          <w:color w:val="000000" w:themeColor="text1"/>
          <w:sz w:val="24"/>
          <w:szCs w:val="24"/>
          <w:highlight w:val="none"/>
          <w:lang w:val="en-US" w:eastAsia="zh-CN" w:bidi="ar-SA"/>
          <w14:textFill>
            <w14:solidFill>
              <w14:schemeClr w14:val="tx1"/>
            </w14:solidFill>
          </w14:textFill>
        </w:rPr>
        <w:t>竞投</w:t>
      </w:r>
      <w:r>
        <w:rPr>
          <w:rFonts w:hint="eastAsia"/>
          <w:b w:val="0"/>
          <w:bCs w:val="0"/>
          <w:color w:val="000000" w:themeColor="text1"/>
          <w:sz w:val="24"/>
          <w:szCs w:val="24"/>
          <w:highlight w:val="none"/>
          <w:lang w:val="en-US" w:bidi="ar-SA"/>
          <w14:textFill>
            <w14:solidFill>
              <w14:schemeClr w14:val="tx1"/>
            </w14:solidFill>
          </w14:textFill>
        </w:rPr>
        <w:t>，竞投人姓名等信息不对其他竞投人、监督人员公开；</w:t>
      </w:r>
      <w:r>
        <w:rPr>
          <w:rFonts w:hint="eastAsia"/>
          <w:b w:val="0"/>
          <w:bCs w:val="0"/>
          <w:color w:val="000000" w:themeColor="text1"/>
          <w:sz w:val="24"/>
          <w:szCs w:val="24"/>
          <w:highlight w:val="none"/>
          <w:lang w:val="en-US" w:eastAsia="zh-CN" w:bidi="ar-SA"/>
          <w14:textFill>
            <w14:solidFill>
              <w14:schemeClr w14:val="tx1"/>
            </w14:solidFill>
          </w14:textFill>
        </w:rPr>
        <w:t>竞投</w:t>
      </w:r>
      <w:r>
        <w:rPr>
          <w:rFonts w:hint="eastAsia"/>
          <w:b w:val="0"/>
          <w:bCs w:val="0"/>
          <w:color w:val="000000" w:themeColor="text1"/>
          <w:sz w:val="24"/>
          <w:szCs w:val="24"/>
          <w:highlight w:val="none"/>
          <w:lang w:val="en-US" w:bidi="ar-SA"/>
          <w14:textFill>
            <w14:solidFill>
              <w14:schemeClr w14:val="tx1"/>
            </w14:solidFill>
          </w14:textFill>
        </w:rPr>
        <w:t>活动结束后，</w:t>
      </w:r>
      <w:r>
        <w:rPr>
          <w:rFonts w:hint="eastAsia"/>
          <w:b w:val="0"/>
          <w:bCs w:val="0"/>
          <w:color w:val="000000" w:themeColor="text1"/>
          <w:sz w:val="24"/>
          <w:szCs w:val="24"/>
          <w:highlight w:val="none"/>
          <w:lang w:val="en-US" w:eastAsia="zh-CN" w:bidi="ar-SA"/>
          <w14:textFill>
            <w14:solidFill>
              <w14:schemeClr w14:val="tx1"/>
            </w14:solidFill>
          </w14:textFill>
        </w:rPr>
        <w:t>竞投</w:t>
      </w:r>
      <w:r>
        <w:rPr>
          <w:rFonts w:hint="eastAsia"/>
          <w:b w:val="0"/>
          <w:bCs w:val="0"/>
          <w:color w:val="000000" w:themeColor="text1"/>
          <w:sz w:val="24"/>
          <w:szCs w:val="24"/>
          <w:highlight w:val="none"/>
          <w:lang w:val="en-US" w:bidi="ar-SA"/>
          <w14:textFill>
            <w14:solidFill>
              <w14:schemeClr w14:val="tx1"/>
            </w14:solidFill>
          </w14:textFill>
        </w:rPr>
        <w:t>系统向所有竞投人和监督人员公开竞投人信息。</w:t>
      </w:r>
    </w:p>
    <w:p>
      <w:pPr>
        <w:pStyle w:val="7"/>
        <w:keepNext w:val="0"/>
        <w:keepLines w:val="0"/>
        <w:pageBreakBefore w:val="0"/>
        <w:widowControl/>
        <w:numPr>
          <w:ilvl w:val="0"/>
          <w:numId w:val="0"/>
        </w:numPr>
        <w:suppressLineNumbers w:val="0"/>
        <w:tabs>
          <w:tab w:val="left" w:pos="1201"/>
        </w:tabs>
        <w:kinsoku/>
        <w:wordWrap/>
        <w:overflowPunct/>
        <w:topLinePunct w:val="0"/>
        <w:autoSpaceDE/>
        <w:autoSpaceDN/>
        <w:bidi w:val="0"/>
        <w:adjustRightInd/>
        <w:snapToGrid/>
        <w:spacing w:line="440" w:lineRule="exact"/>
        <w:ind w:firstLine="480" w:firstLineChars="200"/>
        <w:jc w:val="both"/>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b w:val="0"/>
          <w:bCs w:val="0"/>
          <w:color w:val="000000" w:themeColor="text1"/>
          <w:spacing w:val="0"/>
          <w:sz w:val="24"/>
          <w:szCs w:val="24"/>
          <w:highlight w:val="none"/>
          <w:lang w:val="en-US" w:eastAsia="zh-CN" w:bidi="ar-SA"/>
          <w14:textFill>
            <w14:solidFill>
              <w14:schemeClr w14:val="tx1"/>
            </w14:solidFill>
          </w14:textFill>
        </w:rPr>
        <w:t>（七）</w:t>
      </w:r>
      <w:r>
        <w:rPr>
          <w:rFonts w:hint="eastAsia"/>
          <w:b w:val="0"/>
          <w:bCs w:val="0"/>
          <w:color w:val="000000" w:themeColor="text1"/>
          <w:spacing w:val="0"/>
          <w:sz w:val="24"/>
          <w:szCs w:val="24"/>
          <w:highlight w:val="none"/>
          <w:lang w:val="en-US" w:bidi="ar-SA"/>
          <w14:textFill>
            <w14:solidFill>
              <w14:schemeClr w14:val="tx1"/>
            </w14:solidFill>
          </w14:textFill>
        </w:rPr>
        <w:t>竞投人一经应价，不得反悔，否则所交交易保证金将按照“违约违规责任” 的相关条款处理。</w:t>
      </w:r>
    </w:p>
    <w:p>
      <w:pPr>
        <w:widowControl/>
        <w:numPr>
          <w:ilvl w:val="0"/>
          <w:numId w:val="0"/>
        </w:numPr>
        <w:spacing w:beforeLines="-2147483648" w:afterLines="-2147483648" w:line="440" w:lineRule="exact"/>
        <w:ind w:left="0" w:firstLine="480" w:firstLineChars="200"/>
        <w:jc w:val="left"/>
        <w:outlineLvl w:val="9"/>
        <w:rPr>
          <w:rFonts w:hint="eastAsia" w:ascii="黑体" w:hAnsi="黑体" w:eastAsia="黑体" w:cs="黑体"/>
          <w:b w:val="0"/>
          <w:bCs w:val="0"/>
          <w:color w:val="000000" w:themeColor="text1"/>
          <w:kern w:val="2"/>
          <w:sz w:val="24"/>
          <w:szCs w:val="24"/>
          <w:highlight w:val="none"/>
          <w:u w:val="none"/>
          <w:lang w:bidi="ar"/>
          <w14:textFill>
            <w14:solidFill>
              <w14:schemeClr w14:val="tx1"/>
            </w14:solidFill>
          </w14:textFill>
        </w:rPr>
      </w:pPr>
      <w:r>
        <w:rPr>
          <w:rFonts w:hint="eastAsia" w:ascii="黑体" w:hAnsi="黑体" w:eastAsia="黑体" w:cs="黑体"/>
          <w:b w:val="0"/>
          <w:bCs w:val="0"/>
          <w:color w:val="000000" w:themeColor="text1"/>
          <w:kern w:val="2"/>
          <w:sz w:val="24"/>
          <w:szCs w:val="24"/>
          <w:highlight w:val="none"/>
          <w:u w:val="none"/>
          <w:lang w:val="en-US" w:eastAsia="zh-CN" w:bidi="ar"/>
          <w14:textFill>
            <w14:solidFill>
              <w14:schemeClr w14:val="tx1"/>
            </w14:solidFill>
          </w14:textFill>
        </w:rPr>
        <w:t>三、</w:t>
      </w:r>
      <w:r>
        <w:rPr>
          <w:rFonts w:hint="eastAsia" w:ascii="黑体" w:hAnsi="黑体" w:eastAsia="黑体" w:cs="黑体"/>
          <w:b w:val="0"/>
          <w:bCs w:val="0"/>
          <w:color w:val="000000" w:themeColor="text1"/>
          <w:kern w:val="2"/>
          <w:sz w:val="24"/>
          <w:szCs w:val="24"/>
          <w:highlight w:val="none"/>
          <w:u w:val="none"/>
          <w:lang w:bidi="ar"/>
          <w14:textFill>
            <w14:solidFill>
              <w14:schemeClr w14:val="tx1"/>
            </w14:solidFill>
          </w14:textFill>
        </w:rPr>
        <w:t>交易保证金处理规则</w:t>
      </w:r>
    </w:p>
    <w:p>
      <w:pPr>
        <w:spacing w:before="0" w:beforeLines="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一</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）交易服务机构为确保整个交易工作的“公开、公平、公正”，受项目权属人的委托，向各竞投人代收本项目的交易保证金，</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由此</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而产生的权利和义务全部由项目权属人承担；竞投人对交易保证金的处理有异议的，竞投人直接与项目权属人协商沟通解决。</w:t>
      </w:r>
    </w:p>
    <w:p>
      <w:pPr>
        <w:spacing w:beforeLines="0" w:afterLines="0" w:line="440" w:lineRule="exact"/>
        <w:ind w:lef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）交易保证金处理规则</w:t>
      </w:r>
    </w:p>
    <w:p>
      <w:pPr>
        <w:numPr>
          <w:ilvl w:val="-1"/>
          <w:numId w:val="0"/>
        </w:numPr>
        <w:spacing w:before="0"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未竞得</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该项目的竞投人交纳的交易保证金的处理规则：</w:t>
      </w:r>
    </w:p>
    <w:p>
      <w:pPr>
        <w:numPr>
          <w:ilvl w:val="-1"/>
          <w:numId w:val="0"/>
        </w:numPr>
        <w:spacing w:before="0"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val="en-US" w:eastAsia="zh-CN" w:bidi="ar"/>
          <w14:textFill>
            <w14:solidFill>
              <w14:schemeClr w14:val="tx1"/>
            </w14:solidFill>
          </w14:textFill>
        </w:rPr>
        <w:t>1）</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在交易结果公示期间，如</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无收到</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对交易程序或交易结果提出书面异议或投诉的，在交</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易结果公示结束后 </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5</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 个工作日</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内不计利息原额退还。</w:t>
      </w:r>
    </w:p>
    <w:p>
      <w:pPr>
        <w:numPr>
          <w:ilvl w:val="-1"/>
          <w:numId w:val="0"/>
        </w:numPr>
        <w:spacing w:before="0"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val="en-US" w:eastAsia="zh-CN" w:bidi="ar"/>
          <w14:textFill>
            <w14:solidFill>
              <w14:schemeClr w14:val="tx1"/>
            </w14:solidFill>
          </w14:textFill>
        </w:rPr>
        <w:t>2）</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在交易结果公示期间，如收到对交易程序或交易结果提出书面异议或投诉的，</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则在异议或投诉处理完毕后，按照以下原则处理：</w:t>
      </w:r>
    </w:p>
    <w:p>
      <w:pPr>
        <w:spacing w:beforeLines="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①经核实，异议或投诉事项不属实或不成立的，在异议或投诉处理完毕后，5 个工作日内不计利息原额退还。</w:t>
      </w:r>
    </w:p>
    <w:p>
      <w:pPr>
        <w:spacing w:before="0" w:beforeLines="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②经核实，异议或投诉事项属实，但未达到</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“违约违规责任”中竞投人所应承担的责任及不影响整个交易结果的，在异议或投诉处理完毕后，5 个工作日内不计利息原额退还。</w:t>
      </w:r>
    </w:p>
    <w:p>
      <w:pPr>
        <w:keepNext w:val="0"/>
        <w:keepLines w:val="0"/>
        <w:pageBreakBefore w:val="0"/>
        <w:widowControl/>
        <w:suppressLineNumbers w:val="0"/>
        <w:kinsoku/>
        <w:wordWrap/>
        <w:overflowPunct/>
        <w:topLinePunct w:val="0"/>
        <w:autoSpaceDE/>
        <w:autoSpaceDN/>
        <w:bidi w:val="0"/>
        <w:adjustRightInd/>
        <w:snapToGrid/>
        <w:spacing w:beforeLines="0" w:afterLines="0" w:line="440" w:lineRule="exact"/>
        <w:ind w:left="0"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③经核实，异议或投诉事项属实的，且应承担</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“违约违规责任”中竞投人应承担的责任的，按照</w:t>
      </w:r>
      <w:r>
        <w:rPr>
          <w:rFonts w:hint="eastAsia" w:ascii="仿宋" w:hAnsi="仿宋" w:eastAsia="仿宋" w:cs="仿宋"/>
          <w:b w:val="0"/>
          <w:bCs w:val="0"/>
          <w:color w:val="000000" w:themeColor="text1"/>
          <w:kern w:val="0"/>
          <w:sz w:val="24"/>
          <w:szCs w:val="24"/>
          <w:highlight w:val="none"/>
          <w:shd w:val="clear" w:color="auto" w:fill="auto"/>
          <w:lang w:bidi="ar"/>
          <w14:textFill>
            <w14:solidFill>
              <w14:schemeClr w14:val="tx1"/>
            </w14:solidFill>
          </w14:textFill>
        </w:rPr>
        <w:t>相关条款处理</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竞得人</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交纳的交易保证金的处理规则： </w:t>
      </w:r>
    </w:p>
    <w:p>
      <w:pPr>
        <w:keepNext w:val="0"/>
        <w:keepLines w:val="0"/>
        <w:pageBreakBefore w:val="0"/>
        <w:widowControl/>
        <w:suppressLineNumbers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仿宋" w:hAnsi="仿宋" w:eastAsia="仿宋" w:cs="仿宋"/>
          <w:b w:val="0"/>
          <w:bCs w:val="0"/>
          <w:color w:val="000000" w:themeColor="text1"/>
          <w:spacing w:val="0"/>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（1）在交易结果公示期间，如无收到对交易程序或交易结果提出书面异议或投诉的，则</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在签订合同并上传平台后，</w:t>
      </w:r>
      <w:r>
        <w:rPr>
          <w:rFonts w:hint="eastAsia" w:ascii="仿宋" w:hAnsi="仿宋" w:eastAsia="仿宋" w:cs="仿宋"/>
          <w:color w:val="000000" w:themeColor="text1"/>
          <w:kern w:val="0"/>
          <w:sz w:val="24"/>
          <w:szCs w:val="24"/>
          <w:lang w:val="en-US" w:eastAsia="zh-CN" w:bidi="ar"/>
          <w14:textFill>
            <w14:solidFill>
              <w14:schemeClr w14:val="tx1"/>
            </w14:solidFill>
          </w14:textFill>
        </w:rPr>
        <w:t>交易保证金在5个工作日</w:t>
      </w:r>
      <w:r>
        <w:rPr>
          <w:rFonts w:hint="eastAsia" w:ascii="仿宋" w:hAnsi="仿宋" w:eastAsia="仿宋" w:cs="仿宋"/>
          <w:color w:val="000000" w:themeColor="text1"/>
          <w:kern w:val="0"/>
          <w:sz w:val="24"/>
          <w:szCs w:val="24"/>
          <w:lang w:val="en-US" w:eastAsia="zh-CN" w:bidi="ar"/>
          <w14:textFill>
            <w14:solidFill>
              <w14:schemeClr w14:val="tx1"/>
            </w14:solidFill>
          </w14:textFill>
        </w:rPr>
        <w:t>内</w:t>
      </w:r>
      <w:r>
        <w:rPr>
          <w:rFonts w:hint="eastAsia" w:ascii="仿宋" w:hAnsi="仿宋" w:eastAsia="仿宋" w:cs="仿宋"/>
          <w:b w:val="0"/>
          <w:bCs w:val="0"/>
          <w:color w:val="000000" w:themeColor="text1"/>
          <w:spacing w:val="0"/>
          <w:kern w:val="2"/>
          <w:sz w:val="24"/>
          <w:szCs w:val="24"/>
          <w:highlight w:val="none"/>
          <w:lang w:val="en-US" w:eastAsia="zh-CN" w:bidi="ar-SA"/>
          <w14:textFill>
            <w14:solidFill>
              <w14:schemeClr w14:val="tx1"/>
            </w14:solidFill>
          </w14:textFill>
        </w:rPr>
        <w:t>不计利息原额划拨至权属方提供的银行账户，转为合同履约保证金，如交易保证金超过合同履约保证金的，剩余部分由权属方在合同签订后不计利息退还竞得人；若交易保证金低于合同履约保证金的，则由竞得人按照项目权属人的要求补足。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（2）在交易结果公示期间，如收到对交易程序或交易结果提出书面异议或投诉的，则在异议或投诉处理完毕后，按照以下原则处理： </w:t>
      </w:r>
    </w:p>
    <w:p>
      <w:pPr>
        <w:keepNext w:val="0"/>
        <w:keepLines w:val="0"/>
        <w:pageBreakBefore w:val="0"/>
        <w:widowControl/>
        <w:suppressLineNumbers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仿宋" w:hAnsi="仿宋" w:eastAsia="仿宋" w:cs="仿宋"/>
          <w:b w:val="0"/>
          <w:bCs w:val="0"/>
          <w:color w:val="000000" w:themeColor="text1"/>
          <w:spacing w:val="0"/>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①经核实，异议或投诉事项不属实或不成立的，则在签订合同并上传平台后</w:t>
      </w:r>
      <w:r>
        <w:rPr>
          <w:rFonts w:hint="eastAsia" w:ascii="仿宋" w:hAnsi="仿宋" w:eastAsia="仿宋" w:cs="仿宋"/>
          <w:color w:val="000000" w:themeColor="text1"/>
          <w:kern w:val="0"/>
          <w:sz w:val="24"/>
          <w:szCs w:val="24"/>
          <w:lang w:val="en-US" w:eastAsia="zh-CN" w:bidi="ar"/>
          <w14:textFill>
            <w14:solidFill>
              <w14:schemeClr w14:val="tx1"/>
            </w14:solidFill>
          </w14:textFill>
        </w:rPr>
        <w:t>，</w:t>
      </w:r>
      <w:r>
        <w:rPr>
          <w:rFonts w:hint="eastAsia" w:ascii="仿宋" w:hAnsi="仿宋" w:eastAsia="仿宋" w:cs="仿宋"/>
          <w:color w:val="000000" w:themeColor="text1"/>
          <w:kern w:val="0"/>
          <w:sz w:val="24"/>
          <w:szCs w:val="24"/>
          <w:lang w:val="en-US" w:eastAsia="zh-CN" w:bidi="ar"/>
          <w14:textFill>
            <w14:solidFill>
              <w14:schemeClr w14:val="tx1"/>
            </w14:solidFill>
          </w14:textFill>
        </w:rPr>
        <w:t>交易保证金在5个工作日内</w:t>
      </w:r>
      <w:r>
        <w:rPr>
          <w:rFonts w:hint="eastAsia" w:ascii="仿宋" w:hAnsi="仿宋" w:eastAsia="仿宋" w:cs="仿宋"/>
          <w:b w:val="0"/>
          <w:bCs w:val="0"/>
          <w:color w:val="000000" w:themeColor="text1"/>
          <w:spacing w:val="0"/>
          <w:kern w:val="2"/>
          <w:sz w:val="24"/>
          <w:szCs w:val="24"/>
          <w:highlight w:val="none"/>
          <w:lang w:val="en-US" w:eastAsia="zh-CN" w:bidi="ar-SA"/>
          <w14:textFill>
            <w14:solidFill>
              <w14:schemeClr w14:val="tx1"/>
            </w14:solidFill>
          </w14:textFill>
        </w:rPr>
        <w:t>不计利息原额划拨至权属方提供的银行账户，转为合同履约保证金，如交易保证金超过合同履约保证金的，剩余部分由权属方在合同签订后不计利息退还竞得人；若交易保证金低于合同履约保证金的，则由竞得人按照项目权属人的要求补足。 </w:t>
      </w:r>
    </w:p>
    <w:p>
      <w:pPr>
        <w:keepNext w:val="0"/>
        <w:keepLines w:val="0"/>
        <w:pageBreakBefore w:val="0"/>
        <w:widowControl/>
        <w:suppressLineNumbers w:val="0"/>
        <w:kinsoku/>
        <w:wordWrap/>
        <w:overflowPunct/>
        <w:topLinePunct w:val="0"/>
        <w:autoSpaceDE/>
        <w:autoSpaceDN/>
        <w:bidi w:val="0"/>
        <w:adjustRightInd/>
        <w:snapToGrid/>
        <w:spacing w:beforeLines="0" w:afterLines="0" w:line="440" w:lineRule="exact"/>
        <w:ind w:firstLine="480" w:firstLineChars="200"/>
        <w:jc w:val="left"/>
        <w:textAlignment w:val="auto"/>
        <w:rPr>
          <w:rFonts w:hint="eastAsia" w:ascii="仿宋" w:hAnsi="仿宋" w:eastAsia="仿宋" w:cs="仿宋"/>
          <w:color w:val="000000" w:themeColor="text1"/>
          <w:kern w:val="0"/>
          <w:sz w:val="24"/>
          <w:szCs w:val="24"/>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②经核实，异议或投诉事项属实，但未达到</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“违约违规责任”中竞投人所应承担的责任及不影响整个交易结果的，</w:t>
      </w:r>
      <w:r>
        <w:rPr>
          <w:rFonts w:hint="eastAsia" w:ascii="仿宋" w:hAnsi="仿宋" w:eastAsia="仿宋" w:cs="仿宋"/>
          <w:color w:val="000000" w:themeColor="text1"/>
          <w:kern w:val="0"/>
          <w:sz w:val="24"/>
          <w:szCs w:val="24"/>
          <w:highlight w:val="none"/>
          <w:lang w:bidi="ar"/>
          <w14:textFill>
            <w14:solidFill>
              <w14:schemeClr w14:val="tx1"/>
            </w14:solidFill>
          </w14:textFill>
        </w:rPr>
        <w:t>则在</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签订合同并上传平台</w:t>
      </w:r>
      <w:r>
        <w:rPr>
          <w:rFonts w:hint="eastAsia" w:ascii="仿宋" w:hAnsi="仿宋" w:eastAsia="仿宋" w:cs="仿宋"/>
          <w:color w:val="000000" w:themeColor="text1"/>
          <w:kern w:val="0"/>
          <w:sz w:val="24"/>
          <w:szCs w:val="24"/>
          <w:highlight w:val="none"/>
          <w:lang w:bidi="ar"/>
          <w14:textFill>
            <w14:solidFill>
              <w14:schemeClr w14:val="tx1"/>
            </w14:solidFill>
          </w14:textFill>
        </w:rPr>
        <w:t>后</w:t>
      </w:r>
      <w:r>
        <w:rPr>
          <w:rFonts w:hint="eastAsia" w:ascii="仿宋" w:hAnsi="仿宋" w:eastAsia="仿宋" w:cs="仿宋"/>
          <w:color w:val="000000" w:themeColor="text1"/>
          <w:kern w:val="0"/>
          <w:sz w:val="24"/>
          <w:szCs w:val="24"/>
          <w:lang w:val="en-US" w:eastAsia="zh-CN" w:bidi="ar"/>
          <w14:textFill>
            <w14:solidFill>
              <w14:schemeClr w14:val="tx1"/>
            </w14:solidFill>
          </w14:textFill>
        </w:rPr>
        <w:t>，交易保证金在5个工作日内</w:t>
      </w:r>
      <w:r>
        <w:rPr>
          <w:rFonts w:hint="eastAsia" w:ascii="仿宋" w:hAnsi="仿宋" w:eastAsia="仿宋" w:cs="仿宋"/>
          <w:b w:val="0"/>
          <w:bCs w:val="0"/>
          <w:color w:val="000000" w:themeColor="text1"/>
          <w:spacing w:val="0"/>
          <w:kern w:val="2"/>
          <w:sz w:val="24"/>
          <w:szCs w:val="24"/>
          <w:highlight w:val="none"/>
          <w:lang w:val="en-US" w:eastAsia="zh-CN" w:bidi="ar-SA"/>
          <w14:textFill>
            <w14:solidFill>
              <w14:schemeClr w14:val="tx1"/>
            </w14:solidFill>
          </w14:textFill>
        </w:rPr>
        <w:t>不计利息原额划拨至权属方提供的银行账户，转为合同履约保证金，如交易保证金超过合同履约保证金的，剩余部分由权属方在合同签订后不计利息退还竞得人；若交易保证金低于合同履约保证金的，则由竞得人按照项目权属人的要求补足。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③经核实，异议或投诉事项属实的，且应承担</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“违约违规责任”中竞得人应承担的责任的，则按照</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“违约违规责任”的相关条款处理。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2147483648" w:afterLines="-2147483648" w:line="440" w:lineRule="exact"/>
        <w:ind w:firstLine="480" w:firstLineChars="200"/>
        <w:jc w:val="left"/>
        <w:textAlignment w:val="auto"/>
        <w:outlineLvl w:val="9"/>
        <w:rPr>
          <w:rFonts w:hint="eastAsia" w:ascii="黑体" w:hAnsi="黑体" w:eastAsia="黑体" w:cs="黑体"/>
          <w:b w:val="0"/>
          <w:bCs w:val="0"/>
          <w:color w:val="000000" w:themeColor="text1"/>
          <w:kern w:val="2"/>
          <w:sz w:val="24"/>
          <w:szCs w:val="24"/>
          <w:highlight w:val="none"/>
          <w:u w:val="none"/>
          <w:lang w:bidi="ar"/>
          <w14:textFill>
            <w14:solidFill>
              <w14:schemeClr w14:val="tx1"/>
            </w14:solidFill>
          </w14:textFill>
        </w:rPr>
      </w:pPr>
      <w:r>
        <w:rPr>
          <w:rFonts w:hint="eastAsia" w:ascii="黑体" w:hAnsi="黑体" w:eastAsia="黑体" w:cs="黑体"/>
          <w:b w:val="0"/>
          <w:bCs w:val="0"/>
          <w:color w:val="000000" w:themeColor="text1"/>
          <w:kern w:val="2"/>
          <w:sz w:val="24"/>
          <w:szCs w:val="24"/>
          <w:highlight w:val="none"/>
          <w:u w:val="none"/>
          <w:lang w:val="en-US" w:eastAsia="zh-CN" w:bidi="ar"/>
          <w14:textFill>
            <w14:solidFill>
              <w14:schemeClr w14:val="tx1"/>
            </w14:solidFill>
          </w14:textFill>
        </w:rPr>
        <w:t xml:space="preserve">四、违约违规责任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（一）竞投人存在下列情形之一的，取消其竞投资格： </w:t>
      </w:r>
    </w:p>
    <w:p>
      <w:pPr>
        <w:numPr>
          <w:ilvl w:val="-1"/>
          <w:numId w:val="0"/>
        </w:numPr>
        <w:spacing w:before="2"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在交易结果公示结束前，被投诉或举报提供虚假资料报名或举报采取不正当手段参与竞投，并经核实的。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132"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其他法律法规规定的情形。</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（二）竞得人存在下列情形之一的，取消其竞得资格：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1.在交易结果公示结束后，未在规定的时间内到指定场所签订合同（在交易结果公示期间，有人对交易结果提出异议或投诉，正在核实相关情况的除外）。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2.被取消竞投资格的。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3.其他法律法规规定的情形。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（三）竞投人或竞得人存在下列情形之一的，</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其报名时所交的交易保证金按以下原则处理：</w:t>
      </w:r>
    </w:p>
    <w:p>
      <w:pPr>
        <w:numPr>
          <w:ilvl w:val="-1"/>
          <w:numId w:val="0"/>
        </w:numPr>
        <w:spacing w:before="0"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spacing w:val="0"/>
          <w:kern w:val="0"/>
          <w:sz w:val="24"/>
          <w:szCs w:val="24"/>
          <w:highlight w:val="none"/>
          <w:lang w:val="en-US" w:eastAsia="zh-CN" w:bidi="ar"/>
          <w14:textFill>
            <w14:solidFill>
              <w14:schemeClr w14:val="tx1"/>
            </w14:solidFill>
          </w14:textFill>
        </w:rPr>
        <w:t>1.</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在交易结果公示结束前，被投诉或举报提供虚假资料报名</w:t>
      </w:r>
      <w:r>
        <w:rPr>
          <w:rFonts w:hint="eastAsia" w:ascii="仿宋" w:hAnsi="仿宋" w:eastAsia="仿宋" w:cs="仿宋"/>
          <w:b w:val="0"/>
          <w:bCs w:val="0"/>
          <w:color w:val="000000" w:themeColor="text1"/>
          <w:spacing w:val="0"/>
          <w:kern w:val="0"/>
          <w:sz w:val="24"/>
          <w:szCs w:val="24"/>
          <w:highlight w:val="none"/>
          <w:lang w:val="en-US" w:eastAsia="zh-CN" w:bidi="ar"/>
          <w14:textFill>
            <w14:solidFill>
              <w14:schemeClr w14:val="tx1"/>
            </w14:solidFill>
          </w14:textFill>
        </w:rPr>
        <w:t>或</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采取不正当手段参与竞投，并经核实的，其交纳</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的交易保证金作为违约金，全额不予返还；</w:t>
      </w:r>
    </w:p>
    <w:p>
      <w:pPr>
        <w:numPr>
          <w:ilvl w:val="-1"/>
          <w:numId w:val="0"/>
        </w:numPr>
        <w:spacing w:before="0" w:beforeLines="0" w:after="0" w:afterLines="0" w:line="440" w:lineRule="exact"/>
        <w:ind w:left="0" w:right="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在交易结果公示结束后，未在规定的时间内到指定场所</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的（</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在交易结果</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公示期间，有人对交易结果提出异议或投诉，正在核实相关情况的除外），</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其交纳的交</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易保证金作为违约金，全额不予返还；</w:t>
      </w:r>
    </w:p>
    <w:p>
      <w:pPr>
        <w:numPr>
          <w:ilvl w:val="0"/>
          <w:numId w:val="0"/>
        </w:numPr>
        <w:spacing w:beforeLines="0" w:afterLines="0" w:line="440" w:lineRule="exact"/>
        <w:ind w:firstLine="480" w:firstLineChars="200"/>
        <w:rPr>
          <w:rFonts w:hint="eastAsia" w:ascii="仿宋" w:hAnsi="仿宋" w:eastAsia="仿宋" w:cs="仿宋"/>
          <w:color w:val="000000" w:themeColor="text1"/>
          <w:kern w:val="0"/>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（四）</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竞投人或竞得人被取消竞投资格或竞得资格的，农村集体不再接受该竞投人或竞得人参与本项目的后续竞投工作。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Lines="-2147483648" w:afterLines="-2147483648" w:line="440" w:lineRule="exact"/>
        <w:ind w:firstLine="480" w:firstLineChars="200"/>
        <w:jc w:val="left"/>
        <w:textAlignment w:val="auto"/>
        <w:outlineLvl w:val="9"/>
        <w:rPr>
          <w:rFonts w:hint="eastAsia" w:ascii="仿宋" w:hAnsi="仿宋" w:eastAsia="仿宋" w:cs="仿宋"/>
          <w:b/>
          <w:bCs/>
          <w:color w:val="000000" w:themeColor="text1"/>
          <w:kern w:val="2"/>
          <w:sz w:val="24"/>
          <w:szCs w:val="24"/>
          <w:highlight w:val="none"/>
          <w:u w:val="none"/>
          <w:lang w:bidi="ar"/>
          <w14:textFill>
            <w14:solidFill>
              <w14:schemeClr w14:val="tx1"/>
            </w14:solidFill>
          </w14:textFill>
        </w:rPr>
      </w:pPr>
      <w:r>
        <w:rPr>
          <w:rFonts w:hint="eastAsia" w:ascii="黑体" w:hAnsi="黑体" w:eastAsia="黑体" w:cs="黑体"/>
          <w:b w:val="0"/>
          <w:bCs w:val="0"/>
          <w:color w:val="000000" w:themeColor="text1"/>
          <w:kern w:val="2"/>
          <w:sz w:val="24"/>
          <w:szCs w:val="24"/>
          <w:highlight w:val="none"/>
          <w:u w:val="none"/>
          <w:lang w:val="en-US" w:eastAsia="zh-CN" w:bidi="ar"/>
          <w14:textFill>
            <w14:solidFill>
              <w14:schemeClr w14:val="tx1"/>
            </w14:solidFill>
          </w14:textFill>
        </w:rPr>
        <w:t>五、纠纷处理</w:t>
      </w:r>
      <w:r>
        <w:rPr>
          <w:rFonts w:hint="eastAsia" w:ascii="仿宋" w:hAnsi="仿宋" w:eastAsia="仿宋" w:cs="仿宋"/>
          <w:b/>
          <w:bCs/>
          <w:color w:val="000000" w:themeColor="text1"/>
          <w:kern w:val="2"/>
          <w:sz w:val="24"/>
          <w:szCs w:val="24"/>
          <w:highlight w:val="none"/>
          <w:u w:val="none"/>
          <w:lang w:val="en-US" w:eastAsia="zh-CN" w:bidi="ar"/>
          <w14:textFill>
            <w14:solidFill>
              <w14:schemeClr w14:val="tx1"/>
            </w14:solidFill>
          </w14:textFill>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Lines="0" w:afterLines="0" w:line="440" w:lineRule="exact"/>
        <w:ind w:firstLine="480" w:firstLineChars="200"/>
        <w:jc w:val="both"/>
        <w:textAlignment w:val="auto"/>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一）竞投人（包括竞得人）与项目权属人就本次交易事宜（包括交易保证金处理规则）有争议的，由竞投人（竞得人）与项目权属人自行协商解决，无法达成一致意见的，通过法律途径解决，与交易服务机构无关。 </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40" w:lineRule="exact"/>
        <w:ind w:firstLine="480" w:firstLineChars="200"/>
        <w:jc w:val="both"/>
        <w:textAlignment w:val="auto"/>
        <w:outlineLvl w:val="9"/>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（二）交易公告及</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中载明的项目面积与实际面积对比，上下浮动如不超过交易公告及</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中载明的项目面积5%（含5%）的，不影响交易结果。</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中载明的项目面积与实际面积对比，上下浮动比例如超过</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本文件</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中载明的项目面积的 5%（不含5%）的，在不低于竞得价（如果以单价进行竞投，必须折算为月、季度或年租金）及不改变实质性条款（如租赁年限、递增情况、用途等，不限于上述情况）的前提下，由项目权属人与竞得人公平协商解决，按实际面积计算租金；如在发现面积存在异议之日起 10 个工作日内，双方无法达成一致意见的，竞得人和项目权属人都有权提出取消本次交易申请，可通过项目权属人向镇（街）提出申请，镇（街）核实后</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提交</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 xml:space="preserve">交易服务机构，可以取消本次交易结果，竞得人的交易保证金由交易服务机构一次性全额不计息返还竞得人。 </w:t>
      </w:r>
    </w:p>
    <w:p>
      <w:pPr>
        <w:keepNext w:val="0"/>
        <w:keepLines w:val="0"/>
        <w:widowControl/>
        <w:suppressLineNumbers w:val="0"/>
        <w:spacing w:beforeLines="0" w:afterLines="0" w:line="500" w:lineRule="exact"/>
        <w:ind w:firstLine="480" w:firstLineChars="200"/>
        <w:jc w:val="left"/>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color w:val="000000" w:themeColor="text1"/>
          <w:kern w:val="0"/>
          <w:sz w:val="24"/>
          <w:szCs w:val="24"/>
          <w:lang w:val="en-US" w:eastAsia="zh-CN" w:bidi="ar"/>
          <w14:textFill>
            <w14:solidFill>
              <w14:schemeClr w14:val="tx1"/>
            </w14:solidFill>
          </w14:textFill>
        </w:rPr>
        <w:t>（三）本规则未尽事宜解释权归本项目权属方。</w:t>
      </w:r>
    </w:p>
    <w:p>
      <w:pPr>
        <w:keepNext w:val="0"/>
        <w:keepLines w:val="0"/>
        <w:pageBreakBefore w:val="0"/>
        <w:widowControl w:val="0"/>
        <w:numPr>
          <w:ilvl w:val="-1"/>
          <w:numId w:val="0"/>
        </w:numPr>
        <w:kinsoku/>
        <w:wordWrap/>
        <w:overflowPunct/>
        <w:topLinePunct w:val="0"/>
        <w:autoSpaceDE/>
        <w:autoSpaceDN/>
        <w:bidi w:val="0"/>
        <w:adjustRightInd/>
        <w:snapToGrid/>
        <w:spacing w:beforeLines="0" w:afterLines="0" w:line="440" w:lineRule="exact"/>
        <w:ind w:firstLine="480" w:firstLineChars="200"/>
        <w:jc w:val="both"/>
        <w:textAlignment w:val="auto"/>
        <w:outlineLvl w:val="9"/>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9"/>
        <w:rPr>
          <w:rFonts w:hint="default" w:ascii="黑体" w:hAnsi="黑体" w:eastAsia="黑体" w:cs="黑体"/>
          <w:b w:val="0"/>
          <w:bCs w:val="0"/>
          <w:color w:val="000000" w:themeColor="text1"/>
          <w:kern w:val="2"/>
          <w:sz w:val="28"/>
          <w:szCs w:val="28"/>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2"/>
          <w:sz w:val="28"/>
          <w:szCs w:val="28"/>
          <w:highlight w:val="none"/>
          <w:lang w:val="en-US" w:eastAsia="zh-CN" w:bidi="ar"/>
          <w14:textFill>
            <w14:solidFill>
              <w14:schemeClr w14:val="tx1"/>
            </w14:solidFill>
          </w14:textFill>
        </w:rPr>
        <w:t>第二章 异议投诉及合同履约</w:t>
      </w:r>
    </w:p>
    <w:p>
      <w:pPr>
        <w:widowControl/>
        <w:spacing w:before="0" w:beforeLines="0" w:afterLines="0" w:line="440" w:lineRule="exact"/>
        <w:ind w:right="225"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一</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竞投活动结束后，本项目交易结果将在</w:t>
      </w: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佛山（三水）农村集体“三资”管理服务</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平台网站</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bidi="ar"/>
          <w14:textFill>
            <w14:solidFill>
              <w14:schemeClr w14:val="tx1"/>
            </w14:solidFill>
          </w14:textFill>
        </w:rPr>
        <w:t>网址：https://3z.ss.gov.cn/</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、项目权属人所在地的公开栏、标的物所在地公示</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5</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个工作日，公示期间如对交易程序或结果有异议，请向</w:t>
      </w:r>
      <w:r>
        <w:rPr>
          <w:rFonts w:hint="eastAsia" w:ascii="仿宋" w:hAnsi="仿宋" w:eastAsia="仿宋" w:cs="仿宋"/>
          <w:b w:val="0"/>
          <w:bCs w:val="0"/>
          <w:color w:val="000000" w:themeColor="text1"/>
          <w:spacing w:val="0"/>
          <w:kern w:val="0"/>
          <w:sz w:val="24"/>
          <w:szCs w:val="24"/>
          <w:highlight w:val="none"/>
          <w:lang w:val="en-US" w:eastAsia="zh-CN" w:bidi="ar"/>
          <w14:textFill>
            <w14:solidFill>
              <w14:schemeClr w14:val="tx1"/>
            </w14:solidFill>
          </w14:textFill>
        </w:rPr>
        <w:t>三水区农业农村局</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反映，反映情况必须以实名的方式提供书面材料，并留联系电话和通讯地址</w:t>
      </w: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以单位名义反映的，反映材料应加盖单位印章。</w:t>
      </w:r>
    </w:p>
    <w:p>
      <w:pPr>
        <w:widowControl/>
        <w:spacing w:beforeLines="0" w:afterLines="0" w:line="440" w:lineRule="exact"/>
        <w:ind w:right="344"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二</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在交易结果公示期间，</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如无人提出异议或投诉的，无特殊情况下，竞得人及项目权属人应在公示结束后 </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5</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 个工作日内在交易服务机构指定</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的场所</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如有人对交易程序或结果提出异议或投诉的，待异议或投诉事项处理完毕后，再根据处理结果确定是否</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或</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的具体时间（具</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备</w:t>
      </w: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条件的，在处理完毕后 </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5</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 xml:space="preserve"> 个工作日内</w:t>
      </w: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eastAsia="zh-CN" w:bidi="ar"/>
          <w14:textFill>
            <w14:solidFill>
              <w14:schemeClr w14:val="tx1"/>
            </w14:solidFill>
          </w14:textFill>
        </w:rPr>
        <w:t>。</w:t>
      </w:r>
    </w:p>
    <w:p>
      <w:pPr>
        <w:spacing w:beforeLines="0" w:afterLines="0" w:line="440" w:lineRule="exact"/>
        <w:ind w:left="0" w:right="0" w:rightChars="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三</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w:t>
      </w:r>
      <w:r>
        <w:rPr>
          <w:rFonts w:hint="eastAsia" w:ascii="仿宋" w:hAnsi="仿宋" w:eastAsia="仿宋" w:cs="仿宋"/>
          <w:b w:val="0"/>
          <w:bCs w:val="0"/>
          <w:color w:val="000000" w:themeColor="text1"/>
          <w:spacing w:val="0"/>
          <w:kern w:val="0"/>
          <w:sz w:val="24"/>
          <w:szCs w:val="24"/>
          <w:highlight w:val="none"/>
          <w:lang w:bidi="ar"/>
          <w14:textFill>
            <w14:solidFill>
              <w14:schemeClr w14:val="tx1"/>
            </w14:solidFill>
          </w14:textFill>
        </w:rPr>
        <w:t>竞投活动结束后，</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竞得人</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自行下载</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三水区农村集体资产网上竞投成功确认书</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签订合同时，</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竞得人需出示《</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三水区农村集体资产网上竞投成功确认书</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lang w:val="en-US" w:eastAsia="zh-CN" w:bidi="ar"/>
          <w14:textFill>
            <w14:solidFill>
              <w14:schemeClr w14:val="tx1"/>
            </w14:solidFill>
          </w14:textFill>
        </w:rPr>
        <w:t>并按照合同约定缴纳合同履约金。</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如因竞得人原因逾期不</w:t>
      </w:r>
      <w:r>
        <w:rPr>
          <w:rFonts w:hint="eastAsia" w:ascii="仿宋" w:hAnsi="仿宋" w:eastAsia="仿宋" w:cs="仿宋"/>
          <w:b w:val="0"/>
          <w:bCs w:val="0"/>
          <w:color w:val="000000" w:themeColor="text1"/>
          <w:kern w:val="0"/>
          <w:sz w:val="24"/>
          <w:szCs w:val="24"/>
          <w:highlight w:val="none"/>
          <w:lang w:eastAsia="zh-CN" w:bidi="ar"/>
          <w14:textFill>
            <w14:solidFill>
              <w14:schemeClr w14:val="tx1"/>
            </w14:solidFill>
          </w14:textFill>
        </w:rPr>
        <w:t>签订合同</w:t>
      </w:r>
      <w:r>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t>的，则视为竞得人自动放弃成交权，并由项目权属人收回该项目。</w:t>
      </w:r>
    </w:p>
    <w:p>
      <w:pPr>
        <w:spacing w:beforeLines="0" w:afterLines="0" w:line="440" w:lineRule="exact"/>
        <w:ind w:left="0" w:right="0" w:rightChars="0" w:firstLine="480" w:firstLineChars="200"/>
        <w:jc w:val="both"/>
        <w:rPr>
          <w:rFonts w:hint="eastAsia" w:ascii="仿宋" w:hAnsi="仿宋" w:eastAsia="仿宋" w:cs="仿宋"/>
          <w:b w:val="0"/>
          <w:bCs w:val="0"/>
          <w:color w:val="000000" w:themeColor="text1"/>
          <w:kern w:val="0"/>
          <w:sz w:val="24"/>
          <w:szCs w:val="24"/>
          <w:highlight w:val="none"/>
          <w:lang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auto"/>
        <w:outlineLvl w:val="9"/>
        <w:rPr>
          <w:rFonts w:hint="eastAsia" w:ascii="黑体" w:hAnsi="黑体" w:eastAsia="黑体" w:cs="黑体"/>
          <w:b w:val="0"/>
          <w:bCs w:val="0"/>
          <w:color w:val="000000" w:themeColor="text1"/>
          <w:kern w:val="2"/>
          <w:sz w:val="28"/>
          <w:szCs w:val="28"/>
          <w:highlight w:val="none"/>
          <w:lang w:val="en-US" w:eastAsia="zh-CN" w:bidi="ar"/>
          <w14:textFill>
            <w14:solidFill>
              <w14:schemeClr w14:val="tx1"/>
            </w14:solidFill>
          </w14:textFill>
        </w:rPr>
      </w:pPr>
      <w:r>
        <w:rPr>
          <w:rFonts w:hint="eastAsia" w:ascii="黑体" w:hAnsi="黑体" w:eastAsia="黑体" w:cs="黑体"/>
          <w:b w:val="0"/>
          <w:bCs w:val="0"/>
          <w:color w:val="000000" w:themeColor="text1"/>
          <w:kern w:val="2"/>
          <w:sz w:val="28"/>
          <w:szCs w:val="28"/>
          <w:highlight w:val="none"/>
          <w:lang w:val="en-US" w:eastAsia="zh-CN" w:bidi="ar"/>
          <w14:textFill>
            <w14:solidFill>
              <w14:schemeClr w14:val="tx1"/>
            </w14:solidFill>
          </w14:textFill>
        </w:rPr>
        <w:t>第三章 系统故障的处理及责任</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一、</w:t>
      </w:r>
      <w:r>
        <w:rPr>
          <w:rFonts w:hint="eastAsia" w:ascii="仿宋" w:hAnsi="仿宋" w:eastAsia="仿宋" w:cs="仿宋"/>
          <w:color w:val="000000" w:themeColor="text1"/>
          <w:szCs w:val="24"/>
          <w:lang w:eastAsia="zh-CN"/>
          <w14:textFill>
            <w14:solidFill>
              <w14:schemeClr w14:val="tx1"/>
            </w14:solidFill>
          </w14:textFill>
        </w:rPr>
        <w:t>网上竞投</w:t>
      </w:r>
      <w:r>
        <w:rPr>
          <w:rFonts w:hint="eastAsia" w:ascii="仿宋" w:hAnsi="仿宋" w:eastAsia="仿宋" w:cs="仿宋"/>
          <w:color w:val="000000" w:themeColor="text1"/>
          <w:szCs w:val="24"/>
          <w14:textFill>
            <w14:solidFill>
              <w14:schemeClr w14:val="tx1"/>
            </w14:solidFill>
          </w14:textFill>
        </w:rPr>
        <w:t>交易过程所涉及</w:t>
      </w:r>
      <w:r>
        <w:rPr>
          <w:rFonts w:hint="eastAsia" w:ascii="仿宋" w:hAnsi="仿宋" w:eastAsia="仿宋" w:cs="仿宋"/>
          <w:color w:val="000000" w:themeColor="text1"/>
          <w:szCs w:val="24"/>
          <w:lang w:eastAsia="zh-CN"/>
          <w14:textFill>
            <w14:solidFill>
              <w14:schemeClr w14:val="tx1"/>
            </w14:solidFill>
          </w14:textFill>
        </w:rPr>
        <w:t>的</w:t>
      </w:r>
      <w:r>
        <w:rPr>
          <w:rFonts w:hint="eastAsia" w:ascii="仿宋" w:hAnsi="仿宋" w:eastAsia="仿宋" w:cs="仿宋"/>
          <w:color w:val="000000" w:themeColor="text1"/>
          <w:szCs w:val="24"/>
          <w14:textFill>
            <w14:solidFill>
              <w14:schemeClr w14:val="tx1"/>
            </w14:solidFill>
          </w14:textFill>
        </w:rPr>
        <w:t>时间均以交易系统服务器时间为准，数据记录时间以数据信息到达交易系统服务器的时间为依据。由于竞投意向人自身终端设备时间与交易系统时间不符而导致未按时参与报价的，后果由竞投意向人自行承担；</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二、</w:t>
      </w:r>
      <w:r>
        <w:rPr>
          <w:rFonts w:hint="eastAsia" w:ascii="仿宋" w:hAnsi="仿宋" w:eastAsia="仿宋" w:cs="仿宋"/>
          <w:color w:val="000000" w:themeColor="text1"/>
          <w:szCs w:val="24"/>
          <w14:textFill>
            <w14:solidFill>
              <w14:schemeClr w14:val="tx1"/>
            </w14:solidFill>
          </w14:textFill>
        </w:rPr>
        <w:t>因</w:t>
      </w:r>
      <w:r>
        <w:rPr>
          <w:rFonts w:hint="eastAsia" w:ascii="仿宋" w:hAnsi="仿宋" w:eastAsia="仿宋" w:cs="仿宋"/>
          <w:color w:val="000000" w:themeColor="text1"/>
          <w:szCs w:val="24"/>
          <w14:textFill>
            <w14:solidFill>
              <w14:schemeClr w14:val="tx1"/>
            </w14:solidFill>
          </w14:textFill>
        </w:rPr>
        <w:t>竞投意向人</w:t>
      </w:r>
      <w:r>
        <w:rPr>
          <w:rFonts w:hint="eastAsia" w:ascii="仿宋" w:hAnsi="仿宋" w:eastAsia="仿宋" w:cs="仿宋"/>
          <w:color w:val="000000" w:themeColor="text1"/>
          <w:szCs w:val="24"/>
          <w14:textFill>
            <w14:solidFill>
              <w14:schemeClr w14:val="tx1"/>
            </w14:solidFill>
          </w14:textFill>
        </w:rPr>
        <w:t>使用的</w:t>
      </w:r>
      <w:r>
        <w:rPr>
          <w:rFonts w:hint="eastAsia" w:ascii="仿宋" w:hAnsi="仿宋" w:eastAsia="仿宋" w:cs="仿宋"/>
          <w:color w:val="000000" w:themeColor="text1"/>
          <w:szCs w:val="24"/>
          <w14:textFill>
            <w14:solidFill>
              <w14:schemeClr w14:val="tx1"/>
            </w14:solidFill>
          </w14:textFill>
        </w:rPr>
        <w:t>计算机、手机、平板电脑等设备</w:t>
      </w:r>
      <w:r>
        <w:rPr>
          <w:rFonts w:hint="eastAsia" w:ascii="仿宋" w:hAnsi="仿宋" w:eastAsia="仿宋" w:cs="仿宋"/>
          <w:color w:val="000000" w:themeColor="text1"/>
          <w:szCs w:val="24"/>
          <w14:textFill>
            <w14:solidFill>
              <w14:schemeClr w14:val="tx1"/>
            </w14:solidFill>
          </w14:textFill>
        </w:rPr>
        <w:t>遭遇网络堵塞、病毒入侵、硬件故障</w:t>
      </w:r>
      <w:r>
        <w:rPr>
          <w:rFonts w:hint="eastAsia" w:ascii="仿宋" w:hAnsi="仿宋" w:eastAsia="仿宋" w:cs="仿宋"/>
          <w:color w:val="000000" w:themeColor="text1"/>
          <w:szCs w:val="24"/>
          <w:shd w:val="clear" w:color="auto" w:fill="auto"/>
          <w14:textFill>
            <w14:solidFill>
              <w14:schemeClr w14:val="tx1"/>
            </w14:solidFill>
          </w14:textFill>
        </w:rPr>
        <w:t>、</w:t>
      </w:r>
      <w:r>
        <w:rPr>
          <w:rFonts w:hint="eastAsia" w:ascii="仿宋" w:hAnsi="仿宋" w:eastAsia="仿宋" w:cs="仿宋"/>
          <w:color w:val="000000" w:themeColor="text1"/>
          <w:szCs w:val="24"/>
          <w14:textFill>
            <w14:solidFill>
              <w14:schemeClr w14:val="tx1"/>
            </w14:solidFill>
          </w14:textFill>
        </w:rPr>
        <w:t>遗忘或者泄露密码等任何原因导致不能正常登录交易系统进行报价的，后果由竞投意向人自行承担；</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三、</w:t>
      </w:r>
      <w:r>
        <w:rPr>
          <w:rFonts w:hint="eastAsia" w:ascii="仿宋" w:hAnsi="仿宋" w:eastAsia="仿宋" w:cs="仿宋"/>
          <w:color w:val="000000" w:themeColor="text1"/>
          <w:szCs w:val="24"/>
          <w:lang w:eastAsia="zh-CN"/>
          <w14:textFill>
            <w14:solidFill>
              <w14:schemeClr w14:val="tx1"/>
            </w14:solidFill>
          </w14:textFill>
        </w:rPr>
        <w:t>网上</w:t>
      </w:r>
      <w:r>
        <w:rPr>
          <w:rFonts w:hint="eastAsia" w:ascii="仿宋" w:hAnsi="仿宋" w:eastAsia="仿宋" w:cs="仿宋"/>
          <w:color w:val="000000" w:themeColor="text1"/>
          <w:szCs w:val="24"/>
          <w:lang w:eastAsia="zh-CN"/>
          <w14:textFill>
            <w14:solidFill>
              <w14:schemeClr w14:val="tx1"/>
            </w14:solidFill>
          </w14:textFill>
        </w:rPr>
        <w:t>竞投</w:t>
      </w:r>
      <w:r>
        <w:rPr>
          <w:rFonts w:hint="eastAsia" w:ascii="仿宋" w:hAnsi="仿宋" w:eastAsia="仿宋" w:cs="仿宋"/>
          <w:color w:val="000000" w:themeColor="text1"/>
          <w:szCs w:val="24"/>
          <w14:textFill>
            <w14:solidFill>
              <w14:schemeClr w14:val="tx1"/>
            </w14:solidFill>
          </w14:textFill>
        </w:rPr>
        <w:t>系统</w:t>
      </w:r>
      <w:r>
        <w:rPr>
          <w:rFonts w:hint="eastAsia" w:ascii="仿宋" w:hAnsi="仿宋" w:eastAsia="仿宋" w:cs="仿宋"/>
          <w:color w:val="000000" w:themeColor="text1"/>
          <w:szCs w:val="24"/>
          <w14:textFill>
            <w14:solidFill>
              <w14:schemeClr w14:val="tx1"/>
            </w14:solidFill>
          </w14:textFill>
        </w:rPr>
        <w:t>因不可抗力、软硬件故障、非法入侵、恶意攻击等任何原因而导致</w:t>
      </w:r>
      <w:r>
        <w:rPr>
          <w:rFonts w:hint="eastAsia" w:ascii="仿宋" w:hAnsi="仿宋" w:eastAsia="仿宋" w:cs="仿宋"/>
          <w:color w:val="000000" w:themeColor="text1"/>
          <w:szCs w:val="24"/>
          <w:lang w:eastAsia="zh-CN"/>
          <w14:textFill>
            <w14:solidFill>
              <w14:schemeClr w14:val="tx1"/>
            </w14:solidFill>
          </w14:textFill>
        </w:rPr>
        <w:t>网上竞投</w:t>
      </w:r>
      <w:r>
        <w:rPr>
          <w:rFonts w:hint="eastAsia" w:ascii="仿宋" w:hAnsi="仿宋" w:eastAsia="仿宋" w:cs="仿宋"/>
          <w:color w:val="000000" w:themeColor="text1"/>
          <w:szCs w:val="24"/>
          <w14:textFill>
            <w14:solidFill>
              <w14:schemeClr w14:val="tx1"/>
            </w14:solidFill>
          </w14:textFill>
        </w:rPr>
        <w:t>活动</w:t>
      </w:r>
      <w:r>
        <w:rPr>
          <w:rFonts w:hint="eastAsia" w:ascii="仿宋" w:hAnsi="仿宋" w:eastAsia="仿宋" w:cs="仿宋"/>
          <w:color w:val="000000" w:themeColor="text1"/>
          <w:szCs w:val="24"/>
          <w:lang w:val="en-US" w:eastAsia="zh-CN"/>
          <w14:textFill>
            <w14:solidFill>
              <w14:schemeClr w14:val="tx1"/>
            </w14:solidFill>
          </w14:textFill>
        </w:rPr>
        <w:t>被迫停止的</w:t>
      </w:r>
      <w:r>
        <w:rPr>
          <w:rFonts w:hint="eastAsia" w:ascii="仿宋" w:hAnsi="仿宋" w:eastAsia="仿宋" w:cs="仿宋"/>
          <w:color w:val="000000" w:themeColor="text1"/>
          <w:szCs w:val="24"/>
          <w14:textFill>
            <w14:solidFill>
              <w14:schemeClr w14:val="tx1"/>
            </w14:solidFill>
          </w14:textFill>
        </w:rPr>
        <w:t>，交易服务机构及时中止、终止或重新另行安排时间组织</w:t>
      </w:r>
      <w:r>
        <w:rPr>
          <w:rFonts w:hint="eastAsia" w:ascii="仿宋" w:hAnsi="仿宋" w:eastAsia="仿宋" w:cs="仿宋"/>
          <w:color w:val="000000" w:themeColor="text1"/>
          <w:szCs w:val="24"/>
          <w:lang w:eastAsia="zh-CN"/>
          <w14:textFill>
            <w14:solidFill>
              <w14:schemeClr w14:val="tx1"/>
            </w14:solidFill>
          </w14:textFill>
        </w:rPr>
        <w:t>竞投</w:t>
      </w:r>
      <w:r>
        <w:rPr>
          <w:rFonts w:hint="eastAsia" w:ascii="仿宋" w:hAnsi="仿宋" w:eastAsia="仿宋" w:cs="仿宋"/>
          <w:color w:val="000000" w:themeColor="text1"/>
          <w:szCs w:val="24"/>
          <w14:textFill>
            <w14:solidFill>
              <w14:schemeClr w14:val="tx1"/>
            </w14:solidFill>
          </w14:textFill>
        </w:rPr>
        <w:t>活动，原</w:t>
      </w:r>
      <w:r>
        <w:rPr>
          <w:rFonts w:hint="eastAsia" w:ascii="仿宋" w:hAnsi="仿宋" w:eastAsia="仿宋" w:cs="仿宋"/>
          <w:color w:val="000000" w:themeColor="text1"/>
          <w:szCs w:val="24"/>
          <w:lang w:val="en-US" w:eastAsia="zh-CN"/>
          <w14:textFill>
            <w14:solidFill>
              <w14:schemeClr w14:val="tx1"/>
            </w14:solidFill>
          </w14:textFill>
        </w:rPr>
        <w:t>交易</w:t>
      </w:r>
      <w:r>
        <w:rPr>
          <w:rFonts w:hint="eastAsia" w:ascii="仿宋" w:hAnsi="仿宋" w:eastAsia="仿宋" w:cs="仿宋"/>
          <w:color w:val="000000" w:themeColor="text1"/>
          <w:szCs w:val="24"/>
          <w14:textFill>
            <w14:solidFill>
              <w14:schemeClr w14:val="tx1"/>
            </w14:solidFill>
          </w14:textFill>
        </w:rPr>
        <w:t>结果作废，交易服务机构不承担任何责任；</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四、</w:t>
      </w:r>
      <w:r>
        <w:rPr>
          <w:rFonts w:hint="eastAsia" w:ascii="仿宋" w:hAnsi="仿宋" w:eastAsia="仿宋" w:cs="仿宋"/>
          <w:color w:val="000000" w:themeColor="text1"/>
          <w:szCs w:val="24"/>
          <w14:textFill>
            <w14:solidFill>
              <w14:schemeClr w14:val="tx1"/>
            </w14:solidFill>
          </w14:textFill>
        </w:rPr>
        <w:t>因</w:t>
      </w:r>
      <w:r>
        <w:rPr>
          <w:rFonts w:hint="eastAsia" w:ascii="仿宋" w:hAnsi="仿宋" w:eastAsia="仿宋" w:cs="仿宋"/>
          <w:color w:val="000000" w:themeColor="text1"/>
          <w:szCs w:val="24"/>
          <w:lang w:eastAsia="zh-CN"/>
          <w14:textFill>
            <w14:solidFill>
              <w14:schemeClr w14:val="tx1"/>
            </w14:solidFill>
          </w14:textFill>
        </w:rPr>
        <w:t>网上竞投</w:t>
      </w:r>
      <w:r>
        <w:rPr>
          <w:rFonts w:hint="eastAsia" w:ascii="仿宋" w:hAnsi="仿宋" w:eastAsia="仿宋" w:cs="仿宋"/>
          <w:color w:val="000000" w:themeColor="text1"/>
          <w:szCs w:val="24"/>
          <w14:textFill>
            <w14:solidFill>
              <w14:schemeClr w14:val="tx1"/>
            </w14:solidFill>
          </w14:textFill>
        </w:rPr>
        <w:t>系统故障或其他不可抗力等因素导致</w:t>
      </w:r>
      <w:r>
        <w:rPr>
          <w:rFonts w:hint="eastAsia" w:ascii="仿宋" w:hAnsi="仿宋" w:eastAsia="仿宋" w:cs="仿宋"/>
          <w:color w:val="000000" w:themeColor="text1"/>
          <w:szCs w:val="24"/>
          <w:lang w:eastAsia="zh-CN"/>
          <w14:textFill>
            <w14:solidFill>
              <w14:schemeClr w14:val="tx1"/>
            </w14:solidFill>
          </w14:textFill>
        </w:rPr>
        <w:t>网上竞投</w:t>
      </w:r>
      <w:r>
        <w:rPr>
          <w:rFonts w:hint="eastAsia" w:ascii="仿宋" w:hAnsi="仿宋" w:eastAsia="仿宋" w:cs="仿宋"/>
          <w:color w:val="000000" w:themeColor="text1"/>
          <w:szCs w:val="24"/>
          <w14:textFill>
            <w14:solidFill>
              <w14:schemeClr w14:val="tx1"/>
            </w14:solidFill>
          </w14:textFill>
        </w:rPr>
        <w:t>活动延期或者改期的，交易服务机构将在第一时间告知所有竞投人或竞投意向人，交易服务机构不对交易项目延期或改期可能造成的损失承担任何责任。</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440" w:lineRule="exact"/>
        <w:ind w:firstLine="480" w:firstLineChars="200"/>
        <w:jc w:val="left"/>
        <w:textAlignment w:val="auto"/>
        <w:outlineLvl w:val="9"/>
        <w:rPr>
          <w:rFonts w:hint="eastAsia" w:ascii="仿宋" w:hAnsi="仿宋" w:eastAsia="仿宋" w:cs="仿宋"/>
          <w:color w:val="000000" w:themeColor="text1"/>
          <w:szCs w:val="24"/>
          <w14:textFill>
            <w14:solidFill>
              <w14:schemeClr w14:val="tx1"/>
            </w14:solidFill>
          </w14:textFill>
        </w:rPr>
      </w:pPr>
    </w:p>
    <w:bookmarkEnd w:id="0"/>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lang w:val="en-US" w:eastAsia="zh-CN"/>
      </w:rPr>
    </w:pPr>
    <w:r>
      <w:rPr>
        <w:rFonts w:hint="eastAsia"/>
        <w:lang w:val="en-US" w:eastAsia="zh-CN"/>
      </w:rPr>
      <w:t>附件2</w:t>
    </w:r>
  </w:p>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1NDM0ZmQ0ZjRkNDU0NzA0Y2E5ZTk0OTM4ZmQyZDcifQ=="/>
  </w:docVars>
  <w:rsids>
    <w:rsidRoot w:val="734D4F8F"/>
    <w:rsid w:val="00E17F9B"/>
    <w:rsid w:val="059126E5"/>
    <w:rsid w:val="169D1D9D"/>
    <w:rsid w:val="18E6785D"/>
    <w:rsid w:val="199905EF"/>
    <w:rsid w:val="1B2521B6"/>
    <w:rsid w:val="1E2113C8"/>
    <w:rsid w:val="225E37B2"/>
    <w:rsid w:val="232F595E"/>
    <w:rsid w:val="23C2152C"/>
    <w:rsid w:val="25E23D41"/>
    <w:rsid w:val="27A114F6"/>
    <w:rsid w:val="2BF57DA6"/>
    <w:rsid w:val="2DFC332C"/>
    <w:rsid w:val="315216B2"/>
    <w:rsid w:val="377C1996"/>
    <w:rsid w:val="3EDE6349"/>
    <w:rsid w:val="496A0848"/>
    <w:rsid w:val="4B82339A"/>
    <w:rsid w:val="4BAF4946"/>
    <w:rsid w:val="4D507E90"/>
    <w:rsid w:val="4DFC7D88"/>
    <w:rsid w:val="4E8A1BCE"/>
    <w:rsid w:val="5022663F"/>
    <w:rsid w:val="51BE39BF"/>
    <w:rsid w:val="526C77DF"/>
    <w:rsid w:val="54451AF5"/>
    <w:rsid w:val="5515694A"/>
    <w:rsid w:val="55CA76E8"/>
    <w:rsid w:val="58FA5A09"/>
    <w:rsid w:val="5B7C3F72"/>
    <w:rsid w:val="5EEC1F1B"/>
    <w:rsid w:val="5F2428FC"/>
    <w:rsid w:val="5F5E504F"/>
    <w:rsid w:val="607A3BEB"/>
    <w:rsid w:val="611F2AAF"/>
    <w:rsid w:val="670908B3"/>
    <w:rsid w:val="6A793C37"/>
    <w:rsid w:val="6C78369E"/>
    <w:rsid w:val="6EB91887"/>
    <w:rsid w:val="734D4F8F"/>
    <w:rsid w:val="739118D6"/>
    <w:rsid w:val="7DDB4570"/>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1"/>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1"/>
    <w:pPr>
      <w:ind w:left="119"/>
    </w:pPr>
    <w:rPr>
      <w:rFonts w:ascii="仿宋" w:hAnsi="仿宋" w:eastAsia="仿宋" w:cs="仿宋"/>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List Paragraph"/>
    <w:basedOn w:val="1"/>
    <w:qFormat/>
    <w:uiPriority w:val="1"/>
    <w:pPr>
      <w:ind w:left="119" w:firstLine="480"/>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3562</Words>
  <Characters>3599</Characters>
  <Lines>0</Lines>
  <Paragraphs>0</Paragraphs>
  <ScaleCrop>false</ScaleCrop>
  <LinksUpToDate>false</LinksUpToDate>
  <CharactersWithSpaces>3670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2022-09-16T15:03:00Z</dcterms:created>
  <dc:creator>fly away </dc:creator>
  <cp:lastModifiedBy>DELL</cp:lastModifiedBy>
  <dcterms:modified xsi:type="dcterms:W3CDTF">2022-11-20T07:41:39Z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0FA2CB9DF55A4B9080B3714830A100D5</vt:lpwstr>
  </property>
</Properties>
</file>